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46351" w14:textId="77777777" w:rsidR="00151ACA" w:rsidRDefault="00151ACA" w:rsidP="00151ACA">
      <w:pPr>
        <w:jc w:val="left"/>
      </w:pPr>
    </w:p>
    <w:p w14:paraId="6342F337" w14:textId="77777777" w:rsidR="00151ACA" w:rsidRDefault="00151ACA" w:rsidP="00151ACA">
      <w:pPr>
        <w:pStyle w:val="Title"/>
        <w:jc w:val="both"/>
        <w:rPr>
          <w:rFonts w:ascii="Garamond" w:hAnsi="Garamond"/>
          <w:sz w:val="36"/>
          <w:szCs w:val="36"/>
        </w:rPr>
      </w:pPr>
      <w:r w:rsidRPr="00B452B9">
        <w:rPr>
          <w:rFonts w:ascii="Garamond" w:hAnsi="Garamond"/>
          <w:caps w:val="0"/>
          <w:sz w:val="36"/>
          <w:szCs w:val="36"/>
        </w:rPr>
        <w:t>Is Having Your Computer Compromised a Personal Assault?</w:t>
      </w:r>
      <w:r>
        <w:rPr>
          <w:rFonts w:ascii="Garamond" w:hAnsi="Garamond"/>
          <w:sz w:val="36"/>
          <w:szCs w:val="36"/>
        </w:rPr>
        <w:t xml:space="preserve"> </w:t>
      </w:r>
    </w:p>
    <w:p w14:paraId="1A796830" w14:textId="77777777" w:rsidR="00151ACA" w:rsidRDefault="00151ACA" w:rsidP="00151ACA">
      <w:pPr>
        <w:pStyle w:val="Title"/>
        <w:jc w:val="both"/>
        <w:rPr>
          <w:rFonts w:ascii="Garamond" w:hAnsi="Garamond"/>
          <w:caps w:val="0"/>
          <w:sz w:val="36"/>
          <w:szCs w:val="36"/>
        </w:rPr>
      </w:pPr>
      <w:r w:rsidRPr="00B452B9">
        <w:rPr>
          <w:rFonts w:ascii="Garamond" w:hAnsi="Garamond"/>
          <w:caps w:val="0"/>
          <w:sz w:val="36"/>
          <w:szCs w:val="36"/>
        </w:rPr>
        <w:t>The Ethics of Extended Cognition</w:t>
      </w:r>
    </w:p>
    <w:p w14:paraId="3E9EBFCC" w14:textId="77777777" w:rsidR="00151ACA" w:rsidRDefault="00151ACA" w:rsidP="00151ACA"/>
    <w:p w14:paraId="6B30BE16" w14:textId="77777777" w:rsidR="00151ACA" w:rsidRDefault="00151ACA" w:rsidP="00151ACA">
      <w:r>
        <w:t>J. Adam Carter (University of Edinburgh)</w:t>
      </w:r>
      <w:r>
        <w:tab/>
      </w:r>
    </w:p>
    <w:p w14:paraId="47F94F0C" w14:textId="77777777" w:rsidR="00151ACA" w:rsidRPr="00151ACA" w:rsidRDefault="00151ACA" w:rsidP="00151ACA">
      <w:r>
        <w:t>S. Orestis Palermos (University of Edinburgh)</w:t>
      </w:r>
      <w:r>
        <w:rPr>
          <w:rStyle w:val="FootnoteReference"/>
        </w:rPr>
        <w:footnoteReference w:id="1"/>
      </w:r>
      <w:bookmarkStart w:id="0" w:name="_GoBack"/>
      <w:bookmarkEnd w:id="0"/>
    </w:p>
    <w:p w14:paraId="425A5F58" w14:textId="77777777" w:rsidR="00151ACA" w:rsidRDefault="00151ACA" w:rsidP="00151ACA">
      <w:pPr>
        <w:jc w:val="left"/>
      </w:pPr>
    </w:p>
    <w:p w14:paraId="20088099" w14:textId="77777777" w:rsidR="00151ACA" w:rsidRDefault="00151ACA" w:rsidP="00151ACA">
      <w:pPr>
        <w:pStyle w:val="Compact"/>
        <w:jc w:val="left"/>
        <w:rPr>
          <w:rFonts w:ascii="Garamond" w:hAnsi="Garamond"/>
          <w:smallCaps/>
          <w:sz w:val="22"/>
          <w:szCs w:val="22"/>
        </w:rPr>
      </w:pPr>
    </w:p>
    <w:p w14:paraId="013A27F5" w14:textId="77777777" w:rsidR="00151ACA" w:rsidRPr="00B452B9" w:rsidRDefault="00151ACA" w:rsidP="00151ACA">
      <w:pPr>
        <w:pStyle w:val="Compact"/>
        <w:spacing w:before="0" w:after="0" w:line="480" w:lineRule="auto"/>
        <w:ind w:left="562" w:right="562"/>
        <w:jc w:val="left"/>
        <w:rPr>
          <w:rFonts w:ascii="Garamond" w:hAnsi="Garamond"/>
        </w:rPr>
      </w:pPr>
      <w:r w:rsidRPr="00B452B9">
        <w:rPr>
          <w:rFonts w:ascii="Garamond" w:hAnsi="Garamond"/>
          <w:smallCaps/>
        </w:rPr>
        <w:t>abstract</w:t>
      </w:r>
      <w:r w:rsidRPr="00B452B9">
        <w:rPr>
          <w:rFonts w:ascii="Garamond" w:hAnsi="Garamond"/>
        </w:rPr>
        <w:t>: Philosophy of mind and cognitive science (e.g., Clark and Chalmers</w:t>
      </w:r>
      <w:r>
        <w:rPr>
          <w:rFonts w:ascii="Garamond" w:hAnsi="Garamond"/>
        </w:rPr>
        <w:t xml:space="preserve"> 1998</w:t>
      </w:r>
      <w:r w:rsidRPr="00B452B9">
        <w:rPr>
          <w:rFonts w:ascii="Garamond" w:hAnsi="Garamond"/>
        </w:rPr>
        <w:t>; Clark 2010; Palermos 2014) have recently become increasingly receptive to the hypothesis of extended cognition, according to which external artifacts such as our laptops and smartphones can—under appropriate circumstances—feature as material reali</w:t>
      </w:r>
      <w:r>
        <w:rPr>
          <w:rFonts w:ascii="Garamond" w:hAnsi="Garamond"/>
        </w:rPr>
        <w:t>z</w:t>
      </w:r>
      <w:r w:rsidRPr="00B452B9">
        <w:rPr>
          <w:rFonts w:ascii="Garamond" w:hAnsi="Garamond"/>
        </w:rPr>
        <w:t>ers of a person’s cognitive processes. We argue that, to the extent that the hypothesis of extended cognition is correct, our legal and ethical theori</w:t>
      </w:r>
      <w:r>
        <w:rPr>
          <w:rFonts w:ascii="Garamond" w:hAnsi="Garamond"/>
        </w:rPr>
        <w:t>z</w:t>
      </w:r>
      <w:r w:rsidRPr="00B452B9">
        <w:rPr>
          <w:rFonts w:ascii="Garamond" w:hAnsi="Garamond"/>
        </w:rPr>
        <w:t xml:space="preserve">ing and practice must be updated by broadening our conception of personal assault so as to include intentional harm toward gadgets that have been </w:t>
      </w:r>
      <w:r w:rsidRPr="00B452B9">
        <w:rPr>
          <w:rFonts w:ascii="Garamond" w:hAnsi="Garamond"/>
          <w:i/>
        </w:rPr>
        <w:t>appropriately integrated</w:t>
      </w:r>
      <w:r w:rsidRPr="00B452B9">
        <w:rPr>
          <w:rFonts w:ascii="Garamond" w:hAnsi="Garamond"/>
        </w:rPr>
        <w:t xml:space="preserve">. We next situate the theoretical case for </w:t>
      </w:r>
      <w:r w:rsidRPr="00B452B9">
        <w:rPr>
          <w:rFonts w:ascii="Garamond" w:hAnsi="Garamond"/>
          <w:i/>
        </w:rPr>
        <w:t xml:space="preserve">extended personal assault </w:t>
      </w:r>
      <w:r w:rsidRPr="00B452B9">
        <w:rPr>
          <w:rFonts w:ascii="Garamond" w:hAnsi="Garamond"/>
        </w:rPr>
        <w:t xml:space="preserve">within the context of some recent ethical and legal cases and close with critical discussion. </w:t>
      </w:r>
    </w:p>
    <w:p w14:paraId="2F1B8239" w14:textId="77777777" w:rsidR="00151ACA" w:rsidRPr="00B452B9" w:rsidRDefault="00151ACA" w:rsidP="00151ACA">
      <w:pPr>
        <w:pStyle w:val="Compact"/>
        <w:spacing w:before="0" w:after="0" w:line="480" w:lineRule="auto"/>
        <w:ind w:left="562" w:right="562"/>
        <w:jc w:val="left"/>
        <w:rPr>
          <w:rFonts w:ascii="Garamond" w:hAnsi="Garamond"/>
        </w:rPr>
      </w:pPr>
    </w:p>
    <w:p w14:paraId="4D5FA298" w14:textId="77777777" w:rsidR="00151ACA" w:rsidRPr="00B452B9" w:rsidRDefault="00151ACA" w:rsidP="00151ACA">
      <w:pPr>
        <w:pStyle w:val="Compact"/>
        <w:spacing w:before="0" w:after="0" w:line="480" w:lineRule="auto"/>
        <w:ind w:left="562" w:right="562"/>
        <w:jc w:val="left"/>
        <w:rPr>
          <w:rFonts w:ascii="Garamond" w:hAnsi="Garamond"/>
        </w:rPr>
      </w:pPr>
      <w:r w:rsidRPr="00B452B9">
        <w:rPr>
          <w:rFonts w:ascii="Garamond" w:hAnsi="Garamond"/>
        </w:rPr>
        <w:t xml:space="preserve">Keywords: </w:t>
      </w:r>
      <w:r w:rsidRPr="00B452B9">
        <w:rPr>
          <w:rFonts w:ascii="Garamond" w:hAnsi="Garamond"/>
          <w:bCs/>
        </w:rPr>
        <w:t>extended cognition, applied ethics, technology, privacy, personal assault</w:t>
      </w:r>
    </w:p>
    <w:p w14:paraId="68ED770C" w14:textId="77777777" w:rsidR="00151ACA" w:rsidRDefault="00151ACA" w:rsidP="00151ACA">
      <w:pPr>
        <w:pStyle w:val="Compact"/>
        <w:jc w:val="left"/>
        <w:rPr>
          <w:rFonts w:ascii="Garamond" w:hAnsi="Garamond"/>
        </w:rPr>
      </w:pPr>
    </w:p>
    <w:p w14:paraId="78FCF700" w14:textId="77777777" w:rsidR="00151ACA" w:rsidRDefault="00151ACA" w:rsidP="00151ACA">
      <w:pPr>
        <w:pStyle w:val="Heading1"/>
        <w:spacing w:line="360" w:lineRule="auto"/>
        <w:jc w:val="left"/>
        <w:rPr>
          <w:rFonts w:ascii="Garamond" w:hAnsi="Garamond"/>
        </w:rPr>
      </w:pPr>
      <w:bookmarkStart w:id="1" w:name="introduction"/>
      <w:bookmarkEnd w:id="1"/>
      <w:r>
        <w:rPr>
          <w:rFonts w:ascii="Garamond" w:hAnsi="Garamond"/>
        </w:rPr>
        <w:lastRenderedPageBreak/>
        <w:t>Introduction</w:t>
      </w:r>
    </w:p>
    <w:p w14:paraId="1B9CAD91" w14:textId="77777777" w:rsidR="00151ACA" w:rsidRDefault="00151ACA" w:rsidP="00151ACA">
      <w:pPr>
        <w:spacing w:line="480" w:lineRule="auto"/>
        <w:jc w:val="left"/>
        <w:rPr>
          <w:rFonts w:ascii="Garamond" w:hAnsi="Garamond"/>
        </w:rPr>
      </w:pPr>
      <w:r>
        <w:rPr>
          <w:rFonts w:ascii="Garamond" w:hAnsi="Garamond"/>
          <w:lang w:val="en-GB"/>
        </w:rPr>
        <w:t xml:space="preserve">An unnamed third party entity has found a backdoor to the San Bernardino shooters’ iPhone just in time to avoid </w:t>
      </w:r>
      <w:r>
        <w:rPr>
          <w:rFonts w:ascii="Garamond" w:hAnsi="Garamond"/>
        </w:rPr>
        <w:t xml:space="preserve">one of history’s biggest technological clashes. With the FBI and White House having tried by means of the law to push tech-giant Apple to hack its own software’s security system, they have effectively demanded from Apple not only to give up, but essentially to undo </w:t>
      </w:r>
      <w:proofErr w:type="gramStart"/>
      <w:r>
        <w:rPr>
          <w:rFonts w:ascii="Garamond" w:hAnsi="Garamond"/>
        </w:rPr>
        <w:t>decades</w:t>
      </w:r>
      <w:proofErr w:type="gramEnd"/>
      <w:r>
        <w:rPr>
          <w:rFonts w:ascii="Garamond" w:hAnsi="Garamond"/>
        </w:rPr>
        <w:t xml:space="preserve"> worth of efforts in advancing privacy and cybersecurity. By appealing to First Amendment rights and the right to privacy, Apple has stood on principle despite the enormous legal risks. Luckily, said unnamed </w:t>
      </w:r>
      <w:r>
        <w:rPr>
          <w:rFonts w:ascii="Garamond" w:hAnsi="Garamond"/>
          <w:i/>
        </w:rPr>
        <w:t>deus ex</w:t>
      </w:r>
      <w:r w:rsidRPr="00B452B9">
        <w:rPr>
          <w:rFonts w:ascii="Garamond" w:hAnsi="Garamond"/>
          <w:iCs/>
        </w:rPr>
        <w:t xml:space="preserve"> </w:t>
      </w:r>
      <w:r>
        <w:rPr>
          <w:rFonts w:ascii="Garamond" w:hAnsi="Garamond"/>
          <w:i/>
        </w:rPr>
        <w:t>machina</w:t>
      </w:r>
      <w:r>
        <w:rPr>
          <w:rFonts w:ascii="Garamond" w:hAnsi="Garamond"/>
        </w:rPr>
        <w:t xml:space="preserve"> entity has made its appearance, the court showdown has been cancelled, and the crisis has been averted. Or has it? </w:t>
      </w:r>
    </w:p>
    <w:p w14:paraId="64BB632C" w14:textId="77777777" w:rsidR="00151ACA" w:rsidRDefault="00151ACA" w:rsidP="00151ACA">
      <w:pPr>
        <w:spacing w:line="480" w:lineRule="auto"/>
        <w:jc w:val="left"/>
        <w:rPr>
          <w:rFonts w:ascii="Garamond" w:hAnsi="Garamond"/>
          <w:lang w:val="en-GB"/>
        </w:rPr>
      </w:pPr>
      <w:r>
        <w:rPr>
          <w:rFonts w:ascii="Garamond" w:hAnsi="Garamond"/>
        </w:rPr>
        <w:tab/>
        <w:t>In this climate of technological cold war, the time is ripe to focus on the</w:t>
      </w:r>
      <w:r>
        <w:rPr>
          <w:rFonts w:ascii="Garamond" w:hAnsi="Garamond"/>
          <w:i/>
        </w:rPr>
        <w:t xml:space="preserve"> nature</w:t>
      </w:r>
      <w:r>
        <w:rPr>
          <w:rFonts w:ascii="Garamond" w:hAnsi="Garamond"/>
        </w:rPr>
        <w:t xml:space="preserve"> of our gadgets and the information stored in them.</w:t>
      </w:r>
      <w:r>
        <w:rPr>
          <w:rStyle w:val="FootnoteReference"/>
          <w:rFonts w:ascii="Garamond" w:hAnsi="Garamond"/>
        </w:rPr>
        <w:footnoteReference w:id="2"/>
      </w:r>
      <w:r>
        <w:rPr>
          <w:rFonts w:ascii="Garamond" w:hAnsi="Garamond"/>
        </w:rPr>
        <w:t xml:space="preserve"> Just how close are the parallels between the information individuals have traditionally stored in their biological brains and the information that is now being stored in their gadgets, and what might such parallels mean with respect to the ethical and legal protection we should afford our ‘smartifacts’? </w:t>
      </w:r>
    </w:p>
    <w:p w14:paraId="03D8847A" w14:textId="77777777" w:rsidR="00151ACA" w:rsidRDefault="00151ACA" w:rsidP="00151ACA">
      <w:pPr>
        <w:spacing w:line="480" w:lineRule="auto"/>
        <w:jc w:val="left"/>
        <w:rPr>
          <w:rFonts w:ascii="Garamond" w:hAnsi="Garamond"/>
        </w:rPr>
      </w:pPr>
      <w:r>
        <w:rPr>
          <w:rFonts w:ascii="Garamond" w:hAnsi="Garamond"/>
        </w:rPr>
        <w:tab/>
        <w:t xml:space="preserve">First of all, there is a </w:t>
      </w:r>
      <w:r>
        <w:rPr>
          <w:rFonts w:ascii="Garamond" w:hAnsi="Garamond"/>
          <w:i/>
        </w:rPr>
        <w:t>personal</w:t>
      </w:r>
      <w:r>
        <w:rPr>
          <w:rFonts w:ascii="Garamond" w:hAnsi="Garamond"/>
        </w:rPr>
        <w:t xml:space="preserve"> question we may ask ourselves: How would we feel, and what actions would we take, if someone intentionally broke our phone, stole our smartwatch, or hacked our laptop in a way that significantly undermined our ability to organize our lives? Suppose, for example, that someone compromised the gadgets you rely on daily, such that your diary appointments, your contacts list, photos, system preferences and functionalities, research notes, folders, reminders, push notifications, and so on have all turned into a jumbled, corrupted mess of disorganized data. Would it feel like someone merely damaged your property? Or might the situation perhaps be worse, as if someone had actually assaulted </w:t>
      </w:r>
      <w:r>
        <w:rPr>
          <w:rFonts w:ascii="Garamond" w:hAnsi="Garamond"/>
          <w:i/>
        </w:rPr>
        <w:t>you</w:t>
      </w:r>
      <w:r>
        <w:rPr>
          <w:rFonts w:ascii="Garamond" w:hAnsi="Garamond"/>
        </w:rPr>
        <w:t xml:space="preserve">?   </w:t>
      </w:r>
    </w:p>
    <w:p w14:paraId="245EE89B" w14:textId="77777777" w:rsidR="00151ACA" w:rsidRDefault="00151ACA" w:rsidP="00151ACA">
      <w:pPr>
        <w:spacing w:line="480" w:lineRule="auto"/>
        <w:rPr>
          <w:rFonts w:ascii="Garamond" w:hAnsi="Garamond"/>
        </w:rPr>
      </w:pPr>
      <w:r>
        <w:rPr>
          <w:rFonts w:ascii="Garamond" w:hAnsi="Garamond"/>
        </w:rPr>
        <w:tab/>
        <w:t xml:space="preserve">Personal assault is a particular form of harm that involves the actual or intended use of force to another </w:t>
      </w:r>
      <w:r>
        <w:rPr>
          <w:rFonts w:ascii="Garamond" w:hAnsi="Garamond"/>
          <w:i/>
        </w:rPr>
        <w:t>person</w:t>
      </w:r>
      <w:r>
        <w:rPr>
          <w:rFonts w:ascii="Garamond" w:hAnsi="Garamond"/>
        </w:rPr>
        <w:t xml:space="preserve"> without his consent (see, for example, Fagan versus Metropolitan Police Commissioner [</w:t>
      </w:r>
      <w:commentRangeStart w:id="2"/>
      <w:r>
        <w:rPr>
          <w:rFonts w:ascii="Garamond" w:hAnsi="Garamond"/>
        </w:rPr>
        <w:t>1968</w:t>
      </w:r>
      <w:commentRangeEnd w:id="2"/>
      <w:r>
        <w:rPr>
          <w:rStyle w:val="CommentReference"/>
        </w:rPr>
        <w:commentReference w:id="2"/>
      </w:r>
      <w:r>
        <w:rPr>
          <w:rFonts w:ascii="Garamond" w:hAnsi="Garamond"/>
        </w:rPr>
        <w:t>].</w:t>
      </w:r>
      <w:r>
        <w:rPr>
          <w:rStyle w:val="FootnoteReference"/>
          <w:rFonts w:ascii="Garamond" w:hAnsi="Garamond"/>
        </w:rPr>
        <w:footnoteReference w:id="3"/>
      </w:r>
      <w:r>
        <w:rPr>
          <w:rFonts w:ascii="Garamond" w:hAnsi="Garamond"/>
        </w:rPr>
        <w:t xml:space="preserve"> As a concept, assault has an important history, both ethically and legally. For one thing, the freedom from a violation of bodily integrity is at the very heart of one’s right to self-ownership</w:t>
      </w:r>
      <w:r>
        <w:rPr>
          <w:rStyle w:val="FootnoteRef"/>
          <w:rFonts w:ascii="Garamond" w:hAnsi="Garamond"/>
        </w:rPr>
        <w:footnoteReference w:id="4"/>
      </w:r>
      <w:r>
        <w:rPr>
          <w:rFonts w:ascii="Garamond" w:hAnsi="Garamond"/>
        </w:rPr>
        <w:t xml:space="preserve"> and personal autonomy.</w:t>
      </w:r>
      <w:r>
        <w:rPr>
          <w:rStyle w:val="FootnoteReference"/>
          <w:rFonts w:ascii="Garamond" w:hAnsi="Garamond"/>
        </w:rPr>
        <w:footnoteReference w:id="5"/>
      </w:r>
      <w:r>
        <w:rPr>
          <w:rFonts w:ascii="Garamond" w:hAnsi="Garamond"/>
        </w:rPr>
        <w:t xml:space="preserve"> Legally, assault has long been designated as a special category of offence, one whose status in criminal and civil law is distinct from the offence one commits by merely damaging another’s property. Even though legal complexities to do with assault have typically clustered around the question of </w:t>
      </w:r>
      <w:r>
        <w:rPr>
          <w:rFonts w:ascii="Garamond" w:hAnsi="Garamond"/>
          <w:i/>
        </w:rPr>
        <w:t xml:space="preserve">intent </w:t>
      </w:r>
      <w:r>
        <w:rPr>
          <w:rFonts w:ascii="Garamond" w:hAnsi="Garamond"/>
          <w:iCs/>
        </w:rPr>
        <w:t>(for instance, features of intent are important in distinguishing between simple assault and aggravated assault)</w:t>
      </w:r>
      <w:r>
        <w:rPr>
          <w:rFonts w:ascii="Garamond" w:hAnsi="Garamond"/>
        </w:rPr>
        <w:t xml:space="preserve">, the part about the </w:t>
      </w:r>
      <w:r>
        <w:rPr>
          <w:rFonts w:ascii="Garamond" w:hAnsi="Garamond"/>
          <w:i/>
        </w:rPr>
        <w:t>person</w:t>
      </w:r>
      <w:r>
        <w:rPr>
          <w:rFonts w:ascii="Garamond" w:hAnsi="Garamond"/>
        </w:rPr>
        <w:t xml:space="preserve"> is often taken for granted. One obvious reason for this is that hardly anyone ever questions, at least for most practical purposes, the boundaries of a person. But where does a person really </w:t>
      </w:r>
      <w:r>
        <w:rPr>
          <w:rFonts w:ascii="Garamond" w:hAnsi="Garamond"/>
          <w:i/>
        </w:rPr>
        <w:t>end</w:t>
      </w:r>
      <w:r>
        <w:rPr>
          <w:rFonts w:ascii="Garamond" w:hAnsi="Garamond"/>
        </w:rPr>
        <w:t xml:space="preserve">?  </w:t>
      </w:r>
    </w:p>
    <w:p w14:paraId="680E4332" w14:textId="77777777" w:rsidR="00151ACA" w:rsidRDefault="00151ACA" w:rsidP="00151ACA">
      <w:pPr>
        <w:spacing w:line="480" w:lineRule="auto"/>
        <w:jc w:val="left"/>
        <w:rPr>
          <w:rFonts w:ascii="Garamond" w:hAnsi="Garamond"/>
        </w:rPr>
      </w:pPr>
      <w:r>
        <w:rPr>
          <w:rFonts w:ascii="Garamond" w:hAnsi="Garamond"/>
        </w:rPr>
        <w:tab/>
        <w:t>Consider the following question: What makes the difference between whether I’ve intended to use force against your person as opposed to merely your property? Perhaps it just seems obvious. Here’s one explicit answer, which has become a precedent in the law of the United Kingdom:</w:t>
      </w:r>
    </w:p>
    <w:p w14:paraId="0634BA8C" w14:textId="77777777" w:rsidR="00151ACA" w:rsidRDefault="00151ACA" w:rsidP="00151ACA">
      <w:pPr>
        <w:pStyle w:val="BlockQuote"/>
        <w:spacing w:line="360" w:lineRule="auto"/>
        <w:jc w:val="left"/>
        <w:rPr>
          <w:rFonts w:ascii="Garamond" w:hAnsi="Garamond"/>
        </w:rPr>
      </w:pPr>
      <w:r>
        <w:rPr>
          <w:rFonts w:ascii="Garamond" w:hAnsi="Garamond"/>
        </w:rPr>
        <w:t xml:space="preserve">The body of the victim includes all parts of his body, including his organs, his nervous system and his brain. Bodily injury therefore may include injury to any of those parts of his body </w:t>
      </w:r>
      <w:r>
        <w:rPr>
          <w:rFonts w:ascii="Garamond" w:hAnsi="Garamond"/>
          <w:i/>
        </w:rPr>
        <w:t xml:space="preserve">responsible for his mental and other </w:t>
      </w:r>
      <w:commentRangeStart w:id="3"/>
      <w:r>
        <w:rPr>
          <w:rFonts w:ascii="Garamond" w:hAnsi="Garamond"/>
          <w:i/>
        </w:rPr>
        <w:t>faculties</w:t>
      </w:r>
      <w:commentRangeEnd w:id="3"/>
      <w:r>
        <w:rPr>
          <w:rStyle w:val="CommentReference"/>
          <w:rFonts w:eastAsiaTheme="minorHAnsi" w:cstheme="minorBidi"/>
          <w:bCs w:val="0"/>
        </w:rPr>
        <w:commentReference w:id="3"/>
      </w:r>
      <w:r>
        <w:rPr>
          <w:rFonts w:ascii="Garamond" w:hAnsi="Garamond"/>
          <w:i/>
        </w:rPr>
        <w:t xml:space="preserve">. </w:t>
      </w:r>
      <w:r>
        <w:rPr>
          <w:rFonts w:ascii="Garamond" w:hAnsi="Garamond"/>
          <w:iCs/>
        </w:rPr>
        <w:t xml:space="preserve">(Lord Hobhouse, </w:t>
      </w:r>
      <w:r w:rsidRPr="00B452B9">
        <w:rPr>
          <w:rFonts w:ascii="Garamond" w:hAnsi="Garamond"/>
          <w:i/>
        </w:rPr>
        <w:t xml:space="preserve">Regina v. M. Chan </w:t>
      </w:r>
      <w:bookmarkStart w:id="4" w:name="Editing"/>
      <w:bookmarkEnd w:id="4"/>
      <w:commentRangeStart w:id="5"/>
      <w:r w:rsidRPr="00B452B9">
        <w:rPr>
          <w:rFonts w:ascii="Garamond" w:hAnsi="Garamond"/>
          <w:i/>
        </w:rPr>
        <w:t>Fook</w:t>
      </w:r>
      <w:commentRangeEnd w:id="5"/>
      <w:r>
        <w:rPr>
          <w:rStyle w:val="CommentReference"/>
          <w:rFonts w:eastAsiaTheme="minorHAnsi" w:cstheme="minorBidi"/>
          <w:bCs w:val="0"/>
        </w:rPr>
        <w:commentReference w:id="5"/>
      </w:r>
      <w:r>
        <w:rPr>
          <w:rFonts w:ascii="Garamond" w:hAnsi="Garamond"/>
        </w:rPr>
        <w:t>, our italics.</w:t>
      </w:r>
      <w:r>
        <w:rPr>
          <w:rFonts w:ascii="Garamond" w:hAnsi="Garamond"/>
          <w:iCs/>
        </w:rPr>
        <w:t>)</w:t>
      </w:r>
    </w:p>
    <w:p w14:paraId="2FE5371F" w14:textId="77777777" w:rsidR="00151ACA" w:rsidRDefault="00151ACA" w:rsidP="00151ACA">
      <w:pPr>
        <w:spacing w:line="480" w:lineRule="auto"/>
        <w:jc w:val="left"/>
        <w:rPr>
          <w:sz w:val="6"/>
          <w:szCs w:val="6"/>
        </w:rPr>
      </w:pPr>
      <w:r>
        <w:rPr>
          <w:sz w:val="6"/>
          <w:szCs w:val="6"/>
        </w:rPr>
        <w:t xml:space="preserve"> </w:t>
      </w:r>
    </w:p>
    <w:p w14:paraId="078064D3" w14:textId="77777777" w:rsidR="00151ACA" w:rsidRDefault="00151ACA" w:rsidP="00151ACA">
      <w:pPr>
        <w:spacing w:line="480" w:lineRule="auto"/>
        <w:jc w:val="left"/>
        <w:rPr>
          <w:rFonts w:ascii="Garamond" w:hAnsi="Garamond"/>
        </w:rPr>
      </w:pPr>
      <w:r>
        <w:rPr>
          <w:rFonts w:ascii="Garamond" w:hAnsi="Garamond"/>
        </w:rPr>
        <w:t>This is more or less unsurprising. However, notice that the two statements above capture subtly different ideas. While the first clause attempts to spell out what one’s body (and thereby bodily injury) consists in</w:t>
      </w:r>
      <w:r>
        <w:rPr>
          <w:rFonts w:ascii="Garamond" w:hAnsi="Garamond"/>
          <w:i/>
        </w:rPr>
        <w:t xml:space="preserve"> reductively</w:t>
      </w:r>
      <w:r>
        <w:rPr>
          <w:rFonts w:ascii="Garamond" w:hAnsi="Garamond"/>
        </w:rPr>
        <w:t xml:space="preserve">, by pointing out specific organismic parts, the second clause does so in a </w:t>
      </w:r>
      <w:r>
        <w:rPr>
          <w:rFonts w:ascii="Garamond" w:hAnsi="Garamond"/>
          <w:i/>
        </w:rPr>
        <w:t xml:space="preserve">functionalist </w:t>
      </w:r>
      <w:r>
        <w:rPr>
          <w:rFonts w:ascii="Garamond" w:hAnsi="Garamond"/>
        </w:rPr>
        <w:t xml:space="preserve">way: If a part of one is responsible for (e.g., by being a material realizer of) one’s mental or other faculties, then you can harm that individual by injuring whatever materially realizes such faculties. </w:t>
      </w:r>
    </w:p>
    <w:p w14:paraId="63A8ADD8" w14:textId="77777777" w:rsidR="00151ACA" w:rsidRDefault="00151ACA" w:rsidP="00151ACA">
      <w:pPr>
        <w:spacing w:line="480" w:lineRule="auto"/>
        <w:jc w:val="left"/>
        <w:rPr>
          <w:rFonts w:ascii="Garamond" w:hAnsi="Garamond"/>
        </w:rPr>
      </w:pPr>
      <w:r>
        <w:rPr>
          <w:rFonts w:ascii="Garamond" w:hAnsi="Garamond"/>
        </w:rPr>
        <w:tab/>
        <w:t>F</w:t>
      </w:r>
      <w:r w:rsidRPr="00A46ACF">
        <w:rPr>
          <w:rFonts w:ascii="Garamond" w:hAnsi="Garamond"/>
        </w:rPr>
        <w:t>unctionalism</w:t>
      </w:r>
      <w:r>
        <w:rPr>
          <w:rFonts w:ascii="Garamond" w:hAnsi="Garamond"/>
        </w:rPr>
        <w:t>, within philosophy of mind,</w:t>
      </w:r>
      <w:r w:rsidRPr="00A46ACF">
        <w:rPr>
          <w:rFonts w:ascii="Garamond" w:hAnsi="Garamond"/>
        </w:rPr>
        <w:t xml:space="preserve"> is the doctrine that what makes something a mental state of a particular type does not depend on its internal constitution, but rather on the way it functions or on the role it plays in the system of which it is a part. As such, functionalism denies that the essence of a mental state can be identified with a particular material basis. A mental state may be realized by any material or nonmaterial (functionalism is neutral between dualism and materialism) basis, so long as the basis under consideration gives rise to the kind of function that the target mental state is identified with. Functionalism’s denial to identify mental states with a specific underlying basis is supposed to be one of the view’s main advantages, because it allows for the phenomenon of multiple realizability: Creatures with organisms unlike ours can share our sensations, beliefs, and desires, provided that their behavior and functional organization are similar to our own. Thus functionalism </w:t>
      </w:r>
      <w:r>
        <w:rPr>
          <w:rFonts w:ascii="Garamond" w:hAnsi="Garamond"/>
        </w:rPr>
        <w:t>is supposed to provide</w:t>
      </w:r>
      <w:r w:rsidRPr="00A46ACF">
        <w:rPr>
          <w:rFonts w:ascii="Garamond" w:hAnsi="Garamond"/>
        </w:rPr>
        <w:t xml:space="preserve"> a more inclusive theory of mind that avoids s</w:t>
      </w:r>
      <w:r>
        <w:rPr>
          <w:rFonts w:ascii="Garamond" w:hAnsi="Garamond"/>
        </w:rPr>
        <w:t>pecies-chauvinism (Block 1980; f</w:t>
      </w:r>
      <w:r w:rsidRPr="00A46ACF">
        <w:rPr>
          <w:rFonts w:ascii="Garamond" w:hAnsi="Garamond"/>
        </w:rPr>
        <w:t>or more details</w:t>
      </w:r>
      <w:r>
        <w:rPr>
          <w:rFonts w:ascii="Garamond" w:hAnsi="Garamond"/>
        </w:rPr>
        <w:t xml:space="preserve"> on functionalism, see (Levin </w:t>
      </w:r>
      <w:r w:rsidRPr="00A46ACF">
        <w:rPr>
          <w:rFonts w:ascii="Garamond" w:hAnsi="Garamond"/>
        </w:rPr>
        <w:t>2013)</w:t>
      </w:r>
      <w:r>
        <w:rPr>
          <w:rFonts w:ascii="Garamond" w:hAnsi="Garamond"/>
        </w:rPr>
        <w:t>)</w:t>
      </w:r>
      <w:r w:rsidRPr="00A46ACF">
        <w:rPr>
          <w:rFonts w:ascii="Garamond" w:hAnsi="Garamond"/>
        </w:rPr>
        <w:t>.</w:t>
      </w:r>
    </w:p>
    <w:p w14:paraId="59222457" w14:textId="77777777" w:rsidR="00151ACA" w:rsidRDefault="00151ACA" w:rsidP="00151ACA">
      <w:pPr>
        <w:spacing w:line="480" w:lineRule="auto"/>
        <w:jc w:val="left"/>
        <w:rPr>
          <w:rFonts w:ascii="Garamond" w:hAnsi="Garamond"/>
        </w:rPr>
      </w:pPr>
      <w:r>
        <w:rPr>
          <w:rFonts w:ascii="Garamond" w:hAnsi="Garamond"/>
        </w:rPr>
        <w:tab/>
        <w:t xml:space="preserve">Normally, what is responsible for an individual’s faculties are exactly the sort of organismic parts that are listed as examples in the first statement: organs, the central nervous system, and the brain. Yet, the second (functionalist) clause leaves it open as to whether all faculties that make up one’s person can be reduced to one’s biological organism or whether, possibly, there could be more to it. In other words, it might be possible to harm the body of an individual by harming </w:t>
      </w:r>
      <w:r>
        <w:rPr>
          <w:rFonts w:ascii="Garamond" w:hAnsi="Garamond"/>
          <w:i/>
        </w:rPr>
        <w:t>whatever</w:t>
      </w:r>
      <w:r>
        <w:rPr>
          <w:rFonts w:ascii="Garamond" w:hAnsi="Garamond"/>
        </w:rPr>
        <w:t xml:space="preserve"> may underwrite that individual’s mental and other faculties.</w:t>
      </w:r>
    </w:p>
    <w:p w14:paraId="0DD8F487" w14:textId="77777777" w:rsidR="00151ACA" w:rsidRDefault="00151ACA" w:rsidP="00151ACA">
      <w:pPr>
        <w:spacing w:line="480" w:lineRule="auto"/>
        <w:jc w:val="left"/>
        <w:rPr>
          <w:rFonts w:ascii="Garamond" w:hAnsi="Garamond"/>
        </w:rPr>
      </w:pPr>
      <w:r>
        <w:rPr>
          <w:rFonts w:ascii="Garamond" w:hAnsi="Garamond"/>
        </w:rPr>
        <w:tab/>
        <w:t xml:space="preserve">On this more liberal and open-ended way of thinking about the relevance of the person to assault, one uses force against another’s </w:t>
      </w:r>
      <w:r>
        <w:rPr>
          <w:rFonts w:ascii="Garamond" w:hAnsi="Garamond"/>
          <w:i/>
        </w:rPr>
        <w:t>person</w:t>
      </w:r>
      <w:r>
        <w:rPr>
          <w:rFonts w:ascii="Garamond" w:hAnsi="Garamond"/>
        </w:rPr>
        <w:t xml:space="preserve"> if one injures (along with physical body parts) that person’s </w:t>
      </w:r>
      <w:commentRangeStart w:id="6"/>
      <w:r>
        <w:rPr>
          <w:rFonts w:ascii="Garamond" w:hAnsi="Garamond"/>
          <w:i/>
        </w:rPr>
        <w:t>powers</w:t>
      </w:r>
      <w:commentRangeEnd w:id="6"/>
      <w:r>
        <w:rPr>
          <w:rStyle w:val="CommentReference"/>
        </w:rPr>
        <w:commentReference w:id="6"/>
      </w:r>
      <w:r>
        <w:rPr>
          <w:rFonts w:ascii="Garamond" w:hAnsi="Garamond"/>
        </w:rPr>
        <w:t xml:space="preserve"> by harming whatever may underwrite these powers. In discussions of the importance of freedom from violation of self-ownership, we find a similar implicit functionalism. As political philosopher Gerald Cohen (</w:t>
      </w:r>
      <w:commentRangeStart w:id="7"/>
      <w:r>
        <w:rPr>
          <w:rFonts w:ascii="Garamond" w:hAnsi="Garamond"/>
        </w:rPr>
        <w:t>1995</w:t>
      </w:r>
      <w:commentRangeEnd w:id="7"/>
      <w:r>
        <w:rPr>
          <w:rStyle w:val="CommentReference"/>
        </w:rPr>
        <w:commentReference w:id="7"/>
      </w:r>
      <w:r>
        <w:rPr>
          <w:rFonts w:ascii="Garamond" w:hAnsi="Garamond"/>
        </w:rPr>
        <w:t xml:space="preserve">: 12) remarks, the very concept of self-ownership holds that ‘each person enjoys, over himself </w:t>
      </w:r>
      <w:r>
        <w:rPr>
          <w:rFonts w:ascii="Garamond" w:hAnsi="Garamond"/>
          <w:i/>
        </w:rPr>
        <w:t>and his powers</w:t>
      </w:r>
      <w:r>
        <w:rPr>
          <w:rFonts w:ascii="Garamond" w:hAnsi="Garamond"/>
        </w:rPr>
        <w:t>, full and exclusive rights of control and use, and therefore owes no service or product to anyone else that he has not contracted to supply’ (italics added). Similarly, Charles Taylor (1991) has argued that a satisfying criterion for what it is to violate an individual’s personal autonomy should advert to a conception of personhood that does not simply identify the person with her biological constitution.</w:t>
      </w:r>
      <w:r>
        <w:rPr>
          <w:rStyle w:val="FootnoteReference"/>
          <w:rFonts w:ascii="Garamond" w:hAnsi="Garamond"/>
        </w:rPr>
        <w:footnoteReference w:id="6"/>
      </w:r>
      <w:r>
        <w:rPr>
          <w:rFonts w:ascii="Garamond" w:hAnsi="Garamond"/>
        </w:rPr>
        <w:t xml:space="preserve"> As Taylor (1991) remarks, ‘In a number of ways we are constituted by factors that lie beyond our reflective control but which nonetheless structure our values, thoughts, and motivations’ (Taylor 1991: 33–32).</w:t>
      </w:r>
      <w:r>
        <w:rPr>
          <w:rStyle w:val="FootnoteRef"/>
          <w:rFonts w:ascii="Garamond" w:hAnsi="Garamond"/>
        </w:rPr>
        <w:footnoteReference w:id="7"/>
      </w:r>
      <w:r>
        <w:rPr>
          <w:rFonts w:ascii="Garamond" w:hAnsi="Garamond"/>
        </w:rPr>
        <w:t xml:space="preserve"> </w:t>
      </w:r>
      <w:r>
        <w:rPr>
          <w:sz w:val="6"/>
          <w:szCs w:val="6"/>
        </w:rPr>
        <w:t xml:space="preserve"> </w:t>
      </w:r>
      <w:r>
        <w:rPr>
          <w:rFonts w:ascii="Garamond" w:hAnsi="Garamond"/>
        </w:rPr>
        <w:t xml:space="preserve">In none of these discussions of the relevance of the person to either the legal conception of assault or the ethical discussions of the significance of freedom from harm to one’s person do we find a necessary reductive identification of an individual’s person with her biological constitution. Rather, it seems that what makes freedom from assault have the ethical and legal significance that it has is that freedom from harm to one’s physical constitution </w:t>
      </w:r>
      <w:r>
        <w:rPr>
          <w:rFonts w:ascii="Garamond" w:hAnsi="Garamond"/>
          <w:i/>
        </w:rPr>
        <w:t>and/or</w:t>
      </w:r>
      <w:r>
        <w:rPr>
          <w:rFonts w:ascii="Garamond" w:hAnsi="Garamond"/>
        </w:rPr>
        <w:t xml:space="preserve"> her powers or capacities (including her capacities for reflection, thought, and the structuring of her values) has a distinctive kind of status.</w:t>
      </w:r>
      <w:r>
        <w:rPr>
          <w:rStyle w:val="FootnoteReference"/>
          <w:rFonts w:ascii="Garamond" w:hAnsi="Garamond"/>
        </w:rPr>
        <w:footnoteReference w:id="8"/>
      </w:r>
      <w:r>
        <w:rPr>
          <w:rFonts w:ascii="Garamond" w:hAnsi="Garamond"/>
        </w:rPr>
        <w:t xml:space="preserve"> </w:t>
      </w:r>
    </w:p>
    <w:p w14:paraId="57298721" w14:textId="77777777" w:rsidR="00151ACA" w:rsidRDefault="00151ACA" w:rsidP="00151ACA">
      <w:pPr>
        <w:spacing w:line="480" w:lineRule="auto"/>
        <w:jc w:val="left"/>
        <w:rPr>
          <w:rFonts w:ascii="Garamond" w:hAnsi="Garamond"/>
        </w:rPr>
      </w:pPr>
      <w:r>
        <w:rPr>
          <w:rFonts w:ascii="Garamond" w:hAnsi="Garamond"/>
        </w:rPr>
        <w:tab/>
        <w:t xml:space="preserve">It would be convenient and theoretically elegant (for the purposes of ethical and legal assessment) if the material realizers of an individual’s capacities and powers were always just one’s biological constituents and nothing else. Nevertheless, as the foregoing demonstrates, this is in principle treated as an open question, even within the practical domain of law making. It is evident that harm to what underwrites an individual’s powers and capacities is a kind of offence with an added significance that is absent from mere harm to an individual’s property. But the prevailing thought that we can simply circumscribe the material realizers of our personal powers and capacities to the magisterium of biology is one that we may be forced to give up—especially with the advent of new technologies. </w:t>
      </w:r>
    </w:p>
    <w:p w14:paraId="6F31DDA5" w14:textId="77777777" w:rsidR="00151ACA" w:rsidRDefault="00151ACA" w:rsidP="00151ACA">
      <w:pPr>
        <w:spacing w:line="480" w:lineRule="auto"/>
        <w:jc w:val="left"/>
        <w:rPr>
          <w:rFonts w:ascii="Garamond" w:hAnsi="Garamond"/>
        </w:rPr>
      </w:pPr>
      <w:r>
        <w:rPr>
          <w:rFonts w:ascii="Garamond" w:hAnsi="Garamond"/>
        </w:rPr>
        <w:tab/>
        <w:t xml:space="preserve">As our daily reliance on certain artifacts grows, it may become impossible to count </w:t>
      </w:r>
      <w:r>
        <w:rPr>
          <w:rFonts w:ascii="Garamond" w:hAnsi="Garamond"/>
          <w:i/>
        </w:rPr>
        <w:t xml:space="preserve">all </w:t>
      </w:r>
      <w:r>
        <w:rPr>
          <w:rFonts w:ascii="Garamond" w:hAnsi="Garamond"/>
        </w:rPr>
        <w:t xml:space="preserve">extra-organismic possessions as </w:t>
      </w:r>
      <w:r>
        <w:rPr>
          <w:rFonts w:ascii="Garamond" w:hAnsi="Garamond"/>
          <w:i/>
        </w:rPr>
        <w:t>distinct</w:t>
      </w:r>
      <w:r>
        <w:rPr>
          <w:rFonts w:ascii="Garamond" w:hAnsi="Garamond"/>
        </w:rPr>
        <w:t xml:space="preserve"> from our personhood and thereby merely as our property—a thought that can obviously have far-reaching implications for the law. Of course, an immediate objection is to say that, absent the relevant theoretical background and practical need for such a reconceptualization of the concept of personal assault, this is just stretching the concept too far. The above functionalist-looking descriptions of personal assault do not imply anything other than what is obvious—they were introduced as identical to their reductive counterparts simply because their authors could not possibly imagine that one’s person may consist of anything besides one’s biological body. </w:t>
      </w:r>
    </w:p>
    <w:p w14:paraId="6710E8EB" w14:textId="77777777" w:rsidR="00151ACA" w:rsidRDefault="00151ACA" w:rsidP="00151ACA">
      <w:pPr>
        <w:spacing w:line="480" w:lineRule="auto"/>
        <w:jc w:val="left"/>
        <w:rPr>
          <w:rFonts w:ascii="Garamond" w:hAnsi="Garamond"/>
          <w:i/>
        </w:rPr>
      </w:pPr>
      <w:r>
        <w:rPr>
          <w:rFonts w:ascii="Garamond" w:hAnsi="Garamond"/>
        </w:rPr>
        <w:tab/>
        <w:t xml:space="preserve">While this is an appealing line for resisting the possibility of having to reconsider what may count as personal assault, it could be mistaken on both fronts. Over the past three decades, functionalist approaches within philosophy of mind and cognitive science have been on the rise, with the approaches of embodied cognition and its more radical consequent, the approach of </w:t>
      </w:r>
      <w:r>
        <w:rPr>
          <w:rFonts w:ascii="Garamond" w:hAnsi="Garamond"/>
          <w:i/>
        </w:rPr>
        <w:t>extended</w:t>
      </w:r>
      <w:r>
        <w:rPr>
          <w:rFonts w:ascii="Garamond" w:hAnsi="Garamond"/>
        </w:rPr>
        <w:t xml:space="preserve"> cognition, being at the forefront of studies concerning the workings of the human mind.</w:t>
      </w:r>
      <w:r>
        <w:rPr>
          <w:rStyle w:val="FootnoteReference"/>
          <w:rFonts w:ascii="Garamond" w:hAnsi="Garamond"/>
        </w:rPr>
        <w:footnoteReference w:id="9"/>
      </w:r>
      <w:r>
        <w:rPr>
          <w:rFonts w:ascii="Garamond" w:hAnsi="Garamond"/>
        </w:rPr>
        <w:t xml:space="preserve"> Similarly, the emergence of personal computing and the advent of the cloud as well as wearable and autobiographical, or ‘lifelogging’, technologies (O’Harra et a;. 2008; Hoven et al. 2012)—all of which regularly store personal data </w:t>
      </w:r>
      <w:r>
        <w:rPr>
          <w:rFonts w:ascii="Garamond" w:hAnsi="Garamond"/>
          <w:i/>
        </w:rPr>
        <w:t xml:space="preserve">automatically </w:t>
      </w:r>
      <w:r>
        <w:rPr>
          <w:rFonts w:ascii="Garamond" w:hAnsi="Garamond"/>
        </w:rPr>
        <w:t>in order to structure our daily schedules, offer suggestions, and monitor our health on a moment-to-moment basis—have begun to blur the lines between our biological and digital existence.</w:t>
      </w:r>
    </w:p>
    <w:p w14:paraId="0EC46175" w14:textId="77777777" w:rsidR="00151ACA" w:rsidRDefault="00151ACA" w:rsidP="00151ACA">
      <w:pPr>
        <w:spacing w:line="480" w:lineRule="auto"/>
        <w:jc w:val="left"/>
        <w:rPr>
          <w:rFonts w:ascii="Garamond" w:hAnsi="Garamond"/>
        </w:rPr>
      </w:pPr>
      <w:r>
        <w:rPr>
          <w:rFonts w:ascii="Garamond" w:hAnsi="Garamond"/>
          <w:i/>
        </w:rPr>
        <w:tab/>
      </w:r>
      <w:r>
        <w:rPr>
          <w:rFonts w:ascii="Garamond" w:hAnsi="Garamond"/>
        </w:rPr>
        <w:t xml:space="preserve">In this paper, we attempt to explore how far these considerations can take us and whether, in certain cases, we should indeed try to protect our technological equipment legally in the same way we protect our biological body parts. In section 1, we outline the main contours of the extended cognition program in the philosophy of mind and cognitive science and note the importance of </w:t>
      </w:r>
      <w:r>
        <w:rPr>
          <w:rFonts w:ascii="Garamond" w:hAnsi="Garamond"/>
          <w:i/>
        </w:rPr>
        <w:t>cognitive integration</w:t>
      </w:r>
      <w:r>
        <w:rPr>
          <w:rFonts w:ascii="Garamond" w:hAnsi="Garamond"/>
        </w:rPr>
        <w:t xml:space="preserve"> with respect to whether an external artifact may count as a proper part of a cognitive process. Section 2 draws from the discussion in section 1 and the introduction and provides a rationale for embracing as </w:t>
      </w:r>
      <w:r w:rsidRPr="00B452B9">
        <w:rPr>
          <w:rFonts w:ascii="Garamond" w:hAnsi="Garamond"/>
          <w:iCs/>
        </w:rPr>
        <w:t>bona fide</w:t>
      </w:r>
      <w:r>
        <w:rPr>
          <w:rFonts w:ascii="Garamond" w:hAnsi="Garamond"/>
        </w:rPr>
        <w:t xml:space="preserve"> cases of personal assault cases where what is compromised are, with reference to the hypothesis of extended cognition, extracranial material realizers of one’s mental faculties. In section 3, we sharpen this point by studying recent legal and ethical cases that involve damage of what might count as processes of extended memory and extended perception. Finally, in section 4, we consider further implications of widening our conception of assault in the way suggested, and we explain why it may be a matter of urgent social importance that we do so sooner rather than later. </w:t>
      </w:r>
    </w:p>
    <w:p w14:paraId="1EDB7011" w14:textId="77777777" w:rsidR="00151ACA" w:rsidRDefault="00151ACA" w:rsidP="00151ACA">
      <w:pPr>
        <w:pStyle w:val="Heading1"/>
        <w:spacing w:line="360" w:lineRule="auto"/>
        <w:jc w:val="left"/>
        <w:rPr>
          <w:rFonts w:ascii="Garamond" w:hAnsi="Garamond"/>
        </w:rPr>
      </w:pPr>
      <w:bookmarkStart w:id="8" w:name="extended-cognition"/>
      <w:bookmarkEnd w:id="8"/>
      <w:r>
        <w:rPr>
          <w:rFonts w:ascii="Garamond" w:hAnsi="Garamond"/>
        </w:rPr>
        <w:t>1. Cognitive Extension</w:t>
      </w:r>
    </w:p>
    <w:p w14:paraId="6366F63E" w14:textId="77777777" w:rsidR="00151ACA" w:rsidRDefault="00151ACA" w:rsidP="00151ACA">
      <w:pPr>
        <w:spacing w:line="480" w:lineRule="auto"/>
        <w:jc w:val="left"/>
        <w:rPr>
          <w:rFonts w:ascii="Garamond" w:hAnsi="Garamond"/>
        </w:rPr>
      </w:pPr>
      <w:r>
        <w:rPr>
          <w:rFonts w:ascii="Garamond" w:hAnsi="Garamond"/>
        </w:rPr>
        <w:t xml:space="preserve">Consider </w:t>
      </w:r>
      <w:r>
        <w:rPr>
          <w:rFonts w:ascii="Garamond" w:hAnsi="Garamond"/>
          <w:i/>
        </w:rPr>
        <w:t>active</w:t>
      </w:r>
      <w:r>
        <w:rPr>
          <w:rFonts w:ascii="Garamond" w:hAnsi="Garamond"/>
        </w:rPr>
        <w:t xml:space="preserve"> externalism (Clark and Chalmers 1998; Menary 2007; Hutchins 1995; Sutton, 2008; Sutton et al. 2008; Theiner et al. 2010; Wilson 2000, 2004)—a recent advancement within philosophy of mind and cognitive science—according to which epistemic artifacts, such as telescopes, microscopes, pen and paper, Tactile Visual Substitution Systems (TVSS), and other technological equipment may count (under the appropriate conditions) as constitutive parts of one’s cognitive system. In other words, epistemic artifacts, such as the ones listed above, may occasionally count as literally extending—beyond our brains—the cognitive processes that are thought to make up our minds. </w:t>
      </w:r>
    </w:p>
    <w:p w14:paraId="00019FF7" w14:textId="77777777" w:rsidR="00151ACA" w:rsidRDefault="00151ACA" w:rsidP="00151ACA">
      <w:pPr>
        <w:spacing w:line="480" w:lineRule="auto"/>
        <w:jc w:val="left"/>
        <w:rPr>
          <w:rFonts w:ascii="Garamond" w:hAnsi="Garamond"/>
        </w:rPr>
      </w:pPr>
      <w:r>
        <w:rPr>
          <w:rFonts w:ascii="Garamond" w:hAnsi="Garamond"/>
        </w:rPr>
        <w:tab/>
        <w:t xml:space="preserve">This is a bold claim, but once we trace its theoretical lineage and motivation it may not sound as implausible as it does at first. Active externalism is the extreme consequent of the approach of embodied cognition. In the nineties, several cognitive scientists and philosophers of mind (Varela et al. 1991; Clark 1997) as well as roboticists </w:t>
      </w:r>
      <w:bookmarkStart w:id="9" w:name="OLE_LINK3"/>
      <w:bookmarkStart w:id="10" w:name="OLE_LINK4"/>
      <w:r>
        <w:rPr>
          <w:rFonts w:ascii="Garamond" w:hAnsi="Garamond"/>
        </w:rPr>
        <w:t>(Brooks 1991a, 1991b)</w:t>
      </w:r>
      <w:bookmarkEnd w:id="9"/>
      <w:bookmarkEnd w:id="10"/>
      <w:r>
        <w:rPr>
          <w:rFonts w:ascii="Garamond" w:hAnsi="Garamond"/>
        </w:rPr>
        <w:t xml:space="preserve"> noted that cognition is embodied in the sense that aspects of the agent’s body beyond the brain play a physically constitutive role in cognitive processing (i.e., literally speaking, with respect to several cognitive operations, our bodies are parts of our minds). In particular, for those aspects of an agent’s mind where her brain and body are heavily interdependent, we should think of the latter as a constitutive element of the agent’s overall cognitive system.</w:t>
      </w:r>
    </w:p>
    <w:p w14:paraId="5962685F" w14:textId="77777777" w:rsidR="00151ACA" w:rsidRDefault="00151ACA" w:rsidP="00151ACA">
      <w:pPr>
        <w:spacing w:line="480" w:lineRule="auto"/>
        <w:jc w:val="left"/>
        <w:rPr>
          <w:rFonts w:ascii="Garamond" w:hAnsi="Garamond"/>
        </w:rPr>
      </w:pPr>
      <w:r>
        <w:rPr>
          <w:rFonts w:ascii="Garamond" w:hAnsi="Garamond"/>
        </w:rPr>
        <w:tab/>
        <w:t xml:space="preserve">Nearly three decades later, the approach of embodied cognition has come to occupy a central position within philosophy of mind and cognitive science. But if one is willing to accept the embodied cognition hypothesis then one might not be so far from being at least open to the idea of active externalism. No doubt, it might initially be counterintuitive to accept that cognitive systems can extend beyond our organisms to the artifacts we interact with, but the spirit of the approach is very similar to that of embodied cognition. If we are prepared to accept that our minds are embodied when our brains and bodies heavily depend on each other, then there is no principled reason to deny that cognitive processes are extended in those situations where our brains and the artifacts we employ are also heavily interdependent. Indeed, active externalism in all its forms has been developed, refined, and defended by many philosophers (Clark </w:t>
      </w:r>
      <w:r w:rsidRPr="00B452B9">
        <w:rPr>
          <w:rFonts w:ascii="Garamond" w:hAnsi="Garamond"/>
          <w:iCs/>
        </w:rPr>
        <w:t>and</w:t>
      </w:r>
      <w:r>
        <w:rPr>
          <w:rFonts w:ascii="Garamond" w:hAnsi="Garamond"/>
          <w:i/>
        </w:rPr>
        <w:t xml:space="preserve"> </w:t>
      </w:r>
      <w:r>
        <w:rPr>
          <w:rFonts w:ascii="Garamond" w:hAnsi="Garamond"/>
        </w:rPr>
        <w:t xml:space="preserve">Chalmers 1998; Clark </w:t>
      </w:r>
      <w:commentRangeStart w:id="11"/>
      <w:r>
        <w:rPr>
          <w:rFonts w:ascii="Garamond" w:hAnsi="Garamond"/>
        </w:rPr>
        <w:t>2007</w:t>
      </w:r>
      <w:commentRangeEnd w:id="11"/>
      <w:r>
        <w:rPr>
          <w:rStyle w:val="CommentReference"/>
        </w:rPr>
        <w:commentReference w:id="11"/>
      </w:r>
      <w:r>
        <w:rPr>
          <w:rFonts w:ascii="Garamond" w:hAnsi="Garamond"/>
        </w:rPr>
        <w:t>, 2008; Hutchins 1995; Menary 2006, 2007; Theiner 2011; Wheeler 2005, Wilson 2000, 2004), making the approach a viable hypothesis.</w:t>
      </w:r>
      <w:r>
        <w:rPr>
          <w:rStyle w:val="FootnoteReference"/>
          <w:rFonts w:ascii="Garamond" w:hAnsi="Garamond"/>
        </w:rPr>
        <w:footnoteReference w:id="10"/>
      </w:r>
    </w:p>
    <w:p w14:paraId="2F4AF3B5" w14:textId="77777777" w:rsidR="00151ACA" w:rsidRDefault="00151ACA" w:rsidP="00151ACA">
      <w:pPr>
        <w:spacing w:line="480" w:lineRule="auto"/>
        <w:jc w:val="left"/>
        <w:rPr>
          <w:rFonts w:ascii="Garamond" w:hAnsi="Garamond"/>
        </w:rPr>
      </w:pPr>
      <w:r>
        <w:rPr>
          <w:rFonts w:ascii="Garamond" w:hAnsi="Garamond"/>
        </w:rPr>
        <w:tab/>
        <w:t xml:space="preserve">Here, we will only concern ourselves with what we consider to be the most plausible formulation of the view, known as the </w:t>
      </w:r>
      <w:r>
        <w:rPr>
          <w:rFonts w:ascii="Garamond" w:hAnsi="Garamond"/>
          <w:i/>
        </w:rPr>
        <w:t>hypothesis of extended cognition</w:t>
      </w:r>
      <w:r>
        <w:rPr>
          <w:rFonts w:ascii="Garamond" w:hAnsi="Garamond"/>
        </w:rPr>
        <w:t xml:space="preserve">. Focusing on cognitive processing, the hypothesis of extended cognition is the claim that ‘the actual local operations that realize certain forms of human cognizing include inextricable tangles of feedback, feedforward and feed-around loops: loops that promiscuously criss-cross the boundaries of brain, body and world’ (Clark 2008 §2); cognitive processing can and—under the appropriate conditions—literally extends to the agent’s surrounding environment. According to the hypothesis of extended cognition, the artifacts involved are proper parts of the ongoing cognitive processing. </w:t>
      </w:r>
    </w:p>
    <w:p w14:paraId="69743D5E" w14:textId="77777777" w:rsidR="00151ACA" w:rsidRDefault="00151ACA" w:rsidP="00151ACA">
      <w:pPr>
        <w:spacing w:line="480" w:lineRule="auto"/>
        <w:jc w:val="left"/>
        <w:rPr>
          <w:rFonts w:ascii="Garamond" w:hAnsi="Garamond"/>
        </w:rPr>
      </w:pPr>
      <w:r>
        <w:rPr>
          <w:rFonts w:ascii="Garamond" w:hAnsi="Garamond"/>
        </w:rPr>
        <w:tab/>
        <w:t>But what exactly are the ‘</w:t>
      </w:r>
      <w:r>
        <w:rPr>
          <w:rFonts w:ascii="Garamond" w:hAnsi="Garamond"/>
          <w:i/>
        </w:rPr>
        <w:t>appropriate conditions’</w:t>
      </w:r>
      <w:r>
        <w:rPr>
          <w:rFonts w:ascii="Garamond" w:hAnsi="Garamond"/>
        </w:rPr>
        <w:t xml:space="preserve"> under which cognitive systems extend beyond the agents’ brains and bodies? Answering this question is crucial for determining whether one’s approach to active externalism is going to be sufficiently plausible. We do not and cannot wish to argue here for the correctness of active externalism, but we believe we should at least provide a strict answer to the above question. By doing so, we will be able to draw the line in a clear and perhaps intuitive way between what may count as part of one’s cognitive system and what may not—at least for those readers who are well accustomed to using technology on a daily basis.</w:t>
      </w:r>
    </w:p>
    <w:p w14:paraId="2B633E74" w14:textId="77777777" w:rsidR="00151ACA" w:rsidRDefault="00151ACA" w:rsidP="00151ACA">
      <w:pPr>
        <w:spacing w:line="480" w:lineRule="auto"/>
        <w:jc w:val="left"/>
        <w:rPr>
          <w:rFonts w:ascii="Garamond" w:hAnsi="Garamond"/>
        </w:rPr>
      </w:pPr>
      <w:r>
        <w:rPr>
          <w:rFonts w:ascii="Garamond" w:hAnsi="Garamond"/>
        </w:rPr>
        <w:tab/>
        <w:t xml:space="preserve">Several cognitive scientists have recently pointed out that the answer to what may count as a constitutive element of one’s cognitive system comes from the mathematical framework of </w:t>
      </w:r>
      <w:r>
        <w:rPr>
          <w:rFonts w:ascii="Garamond" w:hAnsi="Garamond"/>
          <w:i/>
        </w:rPr>
        <w:t xml:space="preserve">dynamical systems theory </w:t>
      </w:r>
      <w:r>
        <w:rPr>
          <w:rFonts w:ascii="Garamond" w:hAnsi="Garamond"/>
        </w:rPr>
        <w:t xml:space="preserve">(DST)—the most powerful mathematical framework for studying the behavior of dynamical systems in general. According to DST, in order to claim that two systems give rise to some extended process and, thereby, to an overall extended system (or to a </w:t>
      </w:r>
      <w:r>
        <w:rPr>
          <w:rFonts w:ascii="Garamond" w:hAnsi="Garamond"/>
          <w:i/>
        </w:rPr>
        <w:t xml:space="preserve">coupled </w:t>
      </w:r>
      <w:r>
        <w:rPr>
          <w:rFonts w:ascii="Garamond" w:hAnsi="Garamond"/>
        </w:rPr>
        <w:t xml:space="preserve">system, in DST terms), what is required is the existence of nonlinear interactions that arise out of </w:t>
      </w:r>
      <w:r>
        <w:rPr>
          <w:rFonts w:ascii="Garamond" w:hAnsi="Garamond"/>
          <w:i/>
        </w:rPr>
        <w:t>feedback loops</w:t>
      </w:r>
      <w:r>
        <w:rPr>
          <w:rFonts w:ascii="Garamond" w:hAnsi="Garamond"/>
        </w:rPr>
        <w:t xml:space="preserve"> between the contributing parts (Clark and Chalmers 1998; Chemero 2009; Froese et al. 2013; Sutton et al. 2008; Theiner et al. 2010; Wegner et al. 1985; Tollefsen </w:t>
      </w:r>
      <w:r>
        <w:rPr>
          <w:rFonts w:ascii="Garamond" w:hAnsi="Garamond"/>
          <w:iCs/>
        </w:rPr>
        <w:t xml:space="preserve">and </w:t>
      </w:r>
      <w:r>
        <w:rPr>
          <w:rFonts w:ascii="Garamond" w:hAnsi="Garamond"/>
        </w:rPr>
        <w:t>Dale 2011; Palermos 2014). The underlying rationale is that the aforementioned nonlinear interactions give rise to an overall</w:t>
      </w:r>
      <w:r>
        <w:rPr>
          <w:rFonts w:ascii="Garamond" w:hAnsi="Garamond"/>
          <w:i/>
        </w:rPr>
        <w:t xml:space="preserve"> integrated</w:t>
      </w:r>
      <w:r>
        <w:rPr>
          <w:rFonts w:ascii="Garamond" w:hAnsi="Garamond"/>
        </w:rPr>
        <w:t xml:space="preserve"> system</w:t>
      </w:r>
      <w:r>
        <w:rPr>
          <w:rFonts w:ascii="Garamond" w:hAnsi="Garamond"/>
          <w:i/>
        </w:rPr>
        <w:t xml:space="preserve"> </w:t>
      </w:r>
      <w:r>
        <w:rPr>
          <w:rFonts w:ascii="Garamond" w:hAnsi="Garamond"/>
        </w:rPr>
        <w:t>that consists of all the contributing subcomponents.</w:t>
      </w:r>
    </w:p>
    <w:p w14:paraId="195FB2EC" w14:textId="77777777" w:rsidR="00151ACA" w:rsidRDefault="00151ACA" w:rsidP="00151ACA">
      <w:pPr>
        <w:spacing w:line="480" w:lineRule="auto"/>
        <w:rPr>
          <w:rFonts w:ascii="Garamond" w:hAnsi="Garamond"/>
        </w:rPr>
      </w:pPr>
      <w:r>
        <w:rPr>
          <w:rFonts w:ascii="Garamond" w:hAnsi="Garamond"/>
        </w:rPr>
        <w:tab/>
        <w:t xml:space="preserve">There are two main reasons for postulating this overall coupled system: (1) The aforementioned nonlinear interactions give rise to new systemic properties that belong only to the overall system and to none of the contributing subsystems alone (therefore one </w:t>
      </w:r>
      <w:r>
        <w:rPr>
          <w:rFonts w:ascii="Garamond" w:hAnsi="Garamond"/>
          <w:i/>
        </w:rPr>
        <w:t xml:space="preserve">has to </w:t>
      </w:r>
      <w:r>
        <w:rPr>
          <w:rFonts w:ascii="Garamond" w:hAnsi="Garamond"/>
        </w:rPr>
        <w:t xml:space="preserve">postulate the overall extended system), and (2) said interactions also make it impossible to decompose the two systems in terms of distinct inputs and outputs between them (therefore one </w:t>
      </w:r>
      <w:r>
        <w:rPr>
          <w:rFonts w:ascii="Garamond" w:hAnsi="Garamond"/>
          <w:i/>
        </w:rPr>
        <w:t>cannot but</w:t>
      </w:r>
      <w:r>
        <w:rPr>
          <w:rFonts w:ascii="Garamond" w:hAnsi="Garamond"/>
        </w:rPr>
        <w:t xml:space="preserve"> postulate the overall system). Accordingly, the claim based on DST is that in order to have an extended cognitive system—as opposed to merely an embedded one (cf.</w:t>
      </w:r>
      <w:r>
        <w:rPr>
          <w:rFonts w:ascii="Garamond" w:hAnsi="Garamond"/>
        </w:rPr>
        <w:fldChar w:fldCharType="begin"/>
      </w:r>
      <w:r>
        <w:rPr>
          <w:rFonts w:ascii="Garamond" w:hAnsi="Garamond"/>
        </w:rPr>
        <w:instrText xml:space="preserve"> ADDIN ZOTERO_ITEM CSL_CITATION {"citationID":"2kpd6vtark","properties":{"formattedCitation":"(Fred Adams &amp; Aizawa, 2001; Frederick Adams, 2010; Rupert, 2004, 2009)","plainCitation":"(Fred Adams &amp; Aizawa, 2001; Frederick Adams, 2010; Rupert, 2004, 2009)"},"citationItems":[{"id":417,"uris":["http://zotero.org/users/1816058/items/WT2FEDXC"],"uri":["http://zotero.org/users/1816058/items/WT2FEDXC"],"itemData":{"id":417,"type":"article-journal","title":"The bounds of cognition","container-title":"Philosophical Psychology","page":"43-64","volume":"14","issue":"1","source":"Taylor and Francis+NEJM","abstract":"Recent work in cognitive science has suggested that there are actual cases in which cognitive processes extend in the physical world beyond the bounds of the brain and the body. We argue that, while transcranial cognition may be both a logical and a nomological possibility, no case has been made for its current existence. In other words, we defend a form of contingent intracranialism about the cognitive.","DOI":"10.1080/09515080120033571","ISSN":"0951-5089","author":[{"family":"Adams","given":"Fred"},{"family":"Aizawa","given":"Ken"}],"issued":{"date-parts":[["2001"]]},"accessed":{"date-parts":[["2014",7,22]]}}},{"id":399,"uris":["http://zotero.org/users/1816058/items/IC99WQWM"],"uri":["http://zotero.org/users/1816058/items/IC99WQWM"],"itemData":{"id":399,"type":"book","title":"The Bounds of Cognition","publisher":"Wiley-Blackwell","publisher-place":"Malden, MA","number-of-pages":"216","edition":"1 edition","source":"Amazon.com","event-place":"Malden, MA","abstract":"An alarming number of philosophers and cognitive scientists have argued that mind extends beyond the brain and body. This book evaluates these arguments and suggests that, typically, it does not.   A timely and relevant study that exposes the need to develop a more sophisticated theory of cognition, while pointing to a bold new direction in exploring the nature of cognition  Articulates and defends the “mark of the cognitive”, a common sense theory used to distinguish between cognitive and non–cognitive processes  Challenges the current popularity of extended cognition theory through critical analysis and by pointing out fallacies and shortcoming in the literature  Stimulates discussions that will advance debate about the nature of cognition in the cognitive sciences","ISBN":"9781444332704","language":"English","author":[{"family":"Adams","given":"Frederick"}],"issued":{"date-parts":[["2010",1,22]]}}},{"id":375,"uris":["http://zotero.org/users/1816058/items/64DAS5ZE"],"uri":["http://zotero.org/users/1816058/items/64DAS5ZE"],"itemData":{"id":375,"type":"article-journal","title":"Challenges to the Hypothesis of Extended Cognition","container-title":"Journal of Philosophy","page":"389–428","volume":"101","issue":"8","source":"PhilPapers","author":[{"family":"Rupert","given":"Robert D."}],"issued":{"date-parts":[["2004"]]}}},{"id":393,"uris":["http://zotero.org/users/1816058/items/DZU9QE2D"],"uri":["http://zotero.org/users/1816058/items/DZU9QE2D"],"itemData":{"id":393,"type":"book","title":"Cognitive Systems and the Extended Mind","publisher":"OUP USA","publisher-place":"Oxford ; New York","number-of-pages":"288","edition":"First Edition edition","source":"Amazon.com","event-place":"Oxford ; New York","abstract":"Cognitive Systems and the Extended Mind surveys philosophical issues raised by the situated movement in cognitive science, that is, the treatment of cognitive phenomena as the joint product of brain, body, and environment. The book focuses primarily on the hypothesis of extended cognition, which asserts that human cognitive processes literally comprise elements beyond the boundary of the human organism. Rupert argues that the only plausible way in which to demarcate cognitions is systems-based: cognitive states or processes are the states of the integrated set of mechanisms and capacities that contribute casually and distinctively to the production of cognitive phenomena—for example, language-use, memory, decision-making, theory construction, and, more importantly, the associated forms of behavior. Rupert argues that this integrated systems is most likely to appear within the boundaries of the human organism. He argues that the systems-based view explains the existing successes of cognitive psychology and cognate fields in a way that extended conceptions of cognition do not, and that once the systems-based view has been adopted, it is especially clear how extant arguments in support of the extended view go wrong.     Cognitive Systems also examines further aspects of the situated program in cognitive science, including the embedded and embodied approaches to cognition. Rupert asks to what extent the plausible incarnations of these situated views depart from orthodox, computational cognitive science. Here, Rupert focuses on the notions of representation and computation, arguing that the embedded and embodied views do not constitute the radical shifts in perspective they are often claimed to be. Rupert also argues that, properly understood, the embodied view does not offer a new role for the body, different in principle from the one presupposed by orthodox cognitive science.","ISBN":"9780195379457","language":"English","author":[{"family":"Rupert","given":"Robert D."}],"issued":{"date-parts":[["2009",9,10]]}}}],"schema":"https://github.com/citation-style-language/schema/raw/master/csl-citation.json"} </w:instrText>
      </w:r>
      <w:r>
        <w:rPr>
          <w:rFonts w:ascii="Garamond" w:hAnsi="Garamond"/>
        </w:rPr>
        <w:fldChar w:fldCharType="separate"/>
      </w:r>
      <w:r>
        <w:rPr>
          <w:rFonts w:ascii="Garamond" w:hAnsi="Garamond"/>
        </w:rPr>
        <w:t xml:space="preserve"> Adams </w:t>
      </w:r>
      <w:r>
        <w:rPr>
          <w:rFonts w:ascii="Garamond" w:hAnsi="Garamond"/>
          <w:iCs/>
        </w:rPr>
        <w:t xml:space="preserve">and </w:t>
      </w:r>
      <w:r>
        <w:rPr>
          <w:rFonts w:ascii="Garamond" w:hAnsi="Garamond"/>
        </w:rPr>
        <w:t>Aizawa, 2001, 2010; Rupert 2004, 2009)</w:t>
      </w:r>
      <w:r>
        <w:rPr>
          <w:rFonts w:ascii="Garamond" w:hAnsi="Garamond"/>
        </w:rPr>
        <w:fldChar w:fldCharType="end"/>
      </w:r>
      <w:r>
        <w:rPr>
          <w:rFonts w:ascii="Garamond" w:hAnsi="Garamond"/>
        </w:rPr>
        <w:t xml:space="preserve">—all that is required is that the contributing members (i.e., the relevant cognitive agents and their artifacts) </w:t>
      </w:r>
      <w:r>
        <w:rPr>
          <w:rFonts w:ascii="Garamond" w:hAnsi="Garamond"/>
          <w:i/>
        </w:rPr>
        <w:t>interact continuously and reciprocally</w:t>
      </w:r>
      <w:r>
        <w:rPr>
          <w:rFonts w:ascii="Garamond" w:hAnsi="Garamond"/>
        </w:rPr>
        <w:t xml:space="preserve"> (on the basis of feedback loops) with each other.</w:t>
      </w:r>
      <w:r>
        <w:rPr>
          <w:rStyle w:val="FootnoteReference"/>
          <w:rFonts w:ascii="Garamond" w:hAnsi="Garamond"/>
        </w:rPr>
        <w:footnoteReference w:id="11"/>
      </w:r>
      <w:r>
        <w:rPr>
          <w:rFonts w:ascii="Garamond" w:hAnsi="Garamond"/>
        </w:rPr>
        <w:t xml:space="preserve"> </w:t>
      </w:r>
    </w:p>
    <w:p w14:paraId="075FC5DB" w14:textId="77777777" w:rsidR="00151ACA" w:rsidRDefault="00151ACA" w:rsidP="00151ACA">
      <w:pPr>
        <w:spacing w:line="480" w:lineRule="auto"/>
        <w:jc w:val="left"/>
        <w:rPr>
          <w:rFonts w:ascii="Garamond" w:hAnsi="Garamond"/>
        </w:rPr>
      </w:pPr>
      <w:r>
        <w:rPr>
          <w:rFonts w:ascii="Garamond" w:hAnsi="Garamond"/>
        </w:rPr>
        <w:tab/>
        <w:t xml:space="preserve">To appreciate why this might be a plausible approach to cognitive extension, it is interesting to see how the approach applies in practice. By following the above criterion of cognitive constitution, it is not possible to claim that having our friends’ phone numbers stored on our SIM cards or having created a shopping list means that those pieces of information are already parts of our (extended) cognitive systems—in other words, that we </w:t>
      </w:r>
      <w:r>
        <w:rPr>
          <w:rFonts w:ascii="Garamond" w:hAnsi="Garamond"/>
          <w:i/>
        </w:rPr>
        <w:t xml:space="preserve">remember </w:t>
      </w:r>
      <w:r>
        <w:rPr>
          <w:rFonts w:ascii="Garamond" w:hAnsi="Garamond"/>
        </w:rPr>
        <w:t xml:space="preserve">them in the same way that we remember pieces of information that we have learned by heart. The reason is that there are </w:t>
      </w:r>
      <w:r>
        <w:rPr>
          <w:rFonts w:ascii="Garamond" w:hAnsi="Garamond"/>
          <w:i/>
        </w:rPr>
        <w:t>no nonlinear interactions</w:t>
      </w:r>
      <w:r>
        <w:rPr>
          <w:rFonts w:ascii="Garamond" w:hAnsi="Garamond"/>
        </w:rPr>
        <w:t xml:space="preserve"> between our intracranial cognitive processing and the phonebook or the shopping list. In such cases, there is only one-way, linear dependence between our onboard cognitive capacities and our artifacts because the processes of storing and retrieving the relevant information do not interact reciprocally, but are instead entirely independent of our organismic cognitive processing. We do not affect the </w:t>
      </w:r>
      <w:proofErr w:type="gramStart"/>
      <w:r>
        <w:rPr>
          <w:rFonts w:ascii="Garamond" w:hAnsi="Garamond"/>
        </w:rPr>
        <w:t>artifact,</w:t>
      </w:r>
      <w:proofErr w:type="gramEnd"/>
      <w:r>
        <w:rPr>
          <w:rFonts w:ascii="Garamond" w:hAnsi="Garamond"/>
        </w:rPr>
        <w:t xml:space="preserve"> it only affects us. </w:t>
      </w:r>
      <w:commentRangeStart w:id="12"/>
      <w:r>
        <w:rPr>
          <w:rFonts w:ascii="Garamond" w:hAnsi="Garamond"/>
        </w:rPr>
        <w:t>In</w:t>
      </w:r>
      <w:commentRangeEnd w:id="12"/>
      <w:r>
        <w:rPr>
          <w:rStyle w:val="CommentReference"/>
        </w:rPr>
        <w:commentReference w:id="12"/>
      </w:r>
      <w:r>
        <w:rPr>
          <w:rFonts w:ascii="Garamond" w:hAnsi="Garamond"/>
        </w:rPr>
        <w:t xml:space="preserve"> the light of DST, this sort of dependence does not give rise to a coupled system. Therefore, in such cases, we may only talk of embedded, but not extended, cognition (Rupert 2004, 2009). </w:t>
      </w:r>
    </w:p>
    <w:p w14:paraId="003605EE" w14:textId="77777777" w:rsidR="00151ACA" w:rsidRDefault="00151ACA" w:rsidP="00151ACA">
      <w:pPr>
        <w:spacing w:line="480" w:lineRule="auto"/>
        <w:jc w:val="left"/>
        <w:rPr>
          <w:rFonts w:ascii="Garamond" w:hAnsi="Garamond"/>
        </w:rPr>
      </w:pPr>
      <w:r>
        <w:rPr>
          <w:rFonts w:ascii="Garamond" w:hAnsi="Garamond"/>
        </w:rPr>
        <w:tab/>
        <w:t>In contrast, our everyday interactions with telescopes, microscopes, laptops, smartphones, pen and paper when solving complex mathematical problems, and the way blind people interact with their canes and Tactical Visual Substitution Systems</w:t>
      </w:r>
      <w:r>
        <w:rPr>
          <w:rFonts w:ascii="Garamond" w:hAnsi="Garamond"/>
          <w:i/>
        </w:rPr>
        <w:t xml:space="preserve"> would</w:t>
      </w:r>
      <w:r>
        <w:rPr>
          <w:rFonts w:ascii="Garamond" w:hAnsi="Garamond"/>
        </w:rPr>
        <w:t xml:space="preserve"> all qualify as genuine cases of cognitive extension. In such cases, the completion of the relevant cognitive task does involve dense feedback loops between the individual agent and her artifact. For example, telescopic observation qualifies as a case of cognitive extension because it is a dynamic process that involves ongoing reciprocal interactions between the agent and the artifact. Moving the telescope around while adjusting the lenses generates certain effects (e.g., shapes on the lens of the telescope) whose feedback drives the ongoing cognitive loops along. Eventually, the coupled system of the agent and his telescope is able to identify—that is, see—the target satellite.</w:t>
      </w:r>
      <w:r>
        <w:rPr>
          <w:rStyle w:val="CommentReference"/>
        </w:rPr>
        <w:annotationRef/>
      </w:r>
      <w:r>
        <w:rPr>
          <w:rFonts w:ascii="Garamond" w:hAnsi="Garamond"/>
        </w:rPr>
        <w:t xml:space="preserve"> Accordingly, in the light of DST, in such cases we may indeed have to talk of the presence of an overall extended cognitive system that consists of both the individual agent and her artifact. This, however, may not be such an </w:t>
      </w:r>
      <w:commentRangeStart w:id="13"/>
      <w:r>
        <w:rPr>
          <w:rFonts w:ascii="Garamond" w:hAnsi="Garamond"/>
        </w:rPr>
        <w:t>unwelcome</w:t>
      </w:r>
      <w:commentRangeEnd w:id="13"/>
      <w:r>
        <w:rPr>
          <w:rStyle w:val="CommentReference"/>
        </w:rPr>
        <w:commentReference w:id="13"/>
      </w:r>
      <w:r>
        <w:rPr>
          <w:rFonts w:ascii="Garamond" w:hAnsi="Garamond"/>
        </w:rPr>
        <w:t xml:space="preserve"> result.</w:t>
      </w:r>
      <w:r>
        <w:rPr>
          <w:rStyle w:val="FootnoteReference"/>
          <w:rFonts w:ascii="Garamond" w:hAnsi="Garamond"/>
        </w:rPr>
        <w:footnoteReference w:id="12"/>
      </w:r>
      <w:r>
        <w:rPr>
          <w:rFonts w:ascii="Garamond" w:hAnsi="Garamond"/>
        </w:rPr>
        <w:t xml:space="preserve"> Indeed, we are inclined to think that a growing number of people who have experienced such close technological coupling would be open to the idea of cognitive extension. </w:t>
      </w:r>
    </w:p>
    <w:p w14:paraId="338E24BF" w14:textId="77777777" w:rsidR="00151ACA" w:rsidRDefault="00151ACA" w:rsidP="00151ACA">
      <w:pPr>
        <w:pStyle w:val="Heading1"/>
        <w:spacing w:line="360" w:lineRule="auto"/>
        <w:jc w:val="left"/>
        <w:rPr>
          <w:rFonts w:ascii="Garamond" w:hAnsi="Garamond"/>
        </w:rPr>
      </w:pPr>
      <w:bookmarkStart w:id="14" w:name="next-section"/>
      <w:bookmarkEnd w:id="14"/>
      <w:r>
        <w:rPr>
          <w:rFonts w:ascii="Garamond" w:hAnsi="Garamond"/>
        </w:rPr>
        <w:t>2. Extended Assault</w:t>
      </w:r>
    </w:p>
    <w:p w14:paraId="6F249072" w14:textId="77777777" w:rsidR="00151ACA" w:rsidRDefault="00151ACA" w:rsidP="00151ACA">
      <w:pPr>
        <w:spacing w:line="480" w:lineRule="auto"/>
        <w:jc w:val="left"/>
        <w:rPr>
          <w:rFonts w:ascii="Garamond" w:hAnsi="Garamond"/>
          <w:i/>
        </w:rPr>
      </w:pPr>
      <w:r>
        <w:rPr>
          <w:rFonts w:ascii="Garamond" w:hAnsi="Garamond"/>
          <w:lang w:val="en-GB"/>
        </w:rPr>
        <w:t xml:space="preserve">Let’s now put the pieces together. In the introduction we identified a common factor to various legal and ethical discussions on personal assault: personal assault is the </w:t>
      </w:r>
      <w:r>
        <w:rPr>
          <w:rFonts w:ascii="Garamond" w:hAnsi="Garamond"/>
        </w:rPr>
        <w:t>intentional harm to a part of a person responsible for her mental and other faculties. In section 1, we saw that, according to an increasingly popular position embraced in recent philosophy of mind and cognitive science—</w:t>
      </w:r>
      <w:r w:rsidRPr="00B452B9">
        <w:rPr>
          <w:rFonts w:ascii="Garamond" w:hAnsi="Garamond"/>
          <w:iCs/>
        </w:rPr>
        <w:t>viz.,</w:t>
      </w:r>
      <w:r>
        <w:rPr>
          <w:rFonts w:ascii="Garamond" w:hAnsi="Garamond"/>
          <w:i/>
        </w:rPr>
        <w:t xml:space="preserve"> </w:t>
      </w:r>
      <w:commentRangeStart w:id="15"/>
      <w:r>
        <w:rPr>
          <w:rFonts w:ascii="Garamond" w:hAnsi="Garamond"/>
        </w:rPr>
        <w:t>HEC</w:t>
      </w:r>
      <w:commentRangeEnd w:id="15"/>
      <w:r>
        <w:rPr>
          <w:rStyle w:val="CommentReference"/>
        </w:rPr>
        <w:commentReference w:id="15"/>
      </w:r>
      <w:r>
        <w:rPr>
          <w:rFonts w:ascii="Garamond" w:hAnsi="Garamond"/>
        </w:rPr>
        <w:t xml:space="preserve">—our mental faculties can be partly constituted by external artifacts so long as these artifacts have been appropriately </w:t>
      </w:r>
      <w:r>
        <w:rPr>
          <w:rFonts w:ascii="Garamond" w:hAnsi="Garamond"/>
          <w:i/>
        </w:rPr>
        <w:t>integrated</w:t>
      </w:r>
      <w:r>
        <w:rPr>
          <w:rFonts w:ascii="Garamond" w:hAnsi="Garamond"/>
        </w:rPr>
        <w:t xml:space="preserve"> into our overall cognitive system. Taking these ideas together, we get the seemingly radical suggestion that having our </w:t>
      </w:r>
      <w:r>
        <w:rPr>
          <w:rFonts w:ascii="Garamond" w:hAnsi="Garamond"/>
          <w:i/>
          <w:iCs/>
        </w:rPr>
        <w:t>integrated</w:t>
      </w:r>
      <w:r>
        <w:rPr>
          <w:rFonts w:ascii="Garamond" w:hAnsi="Garamond"/>
        </w:rPr>
        <w:t xml:space="preserve"> epistemic artifacts intentionally compromised plausibly qualifies as a case of personal assault. Put more carefully, the argument can be expressed with two premises and a conclusion; call this the </w:t>
      </w:r>
      <w:r>
        <w:rPr>
          <w:rFonts w:ascii="Garamond" w:hAnsi="Garamond"/>
          <w:i/>
        </w:rPr>
        <w:t>argument for extended assault.</w:t>
      </w:r>
    </w:p>
    <w:p w14:paraId="68C66491" w14:textId="77777777" w:rsidR="00151ACA" w:rsidRDefault="00151ACA" w:rsidP="00151ACA">
      <w:pPr>
        <w:pStyle w:val="Compact"/>
        <w:ind w:left="0"/>
        <w:jc w:val="left"/>
        <w:rPr>
          <w:rFonts w:ascii="Garamond" w:hAnsi="Garamond"/>
          <w:lang w:val="en-GB"/>
        </w:rPr>
      </w:pPr>
    </w:p>
    <w:p w14:paraId="1E0CF1F5" w14:textId="77777777" w:rsidR="00151ACA" w:rsidRDefault="00151ACA" w:rsidP="00151ACA">
      <w:pPr>
        <w:pStyle w:val="Compact"/>
        <w:spacing w:line="360" w:lineRule="auto"/>
        <w:jc w:val="left"/>
        <w:rPr>
          <w:rFonts w:ascii="Garamond" w:hAnsi="Garamond"/>
          <w:lang w:val="en-GB"/>
        </w:rPr>
      </w:pPr>
      <w:r>
        <w:rPr>
          <w:rFonts w:ascii="Garamond" w:hAnsi="Garamond"/>
          <w:i/>
          <w:lang w:val="en-GB"/>
        </w:rPr>
        <w:tab/>
      </w:r>
      <w:r>
        <w:rPr>
          <w:rFonts w:ascii="Garamond" w:hAnsi="Garamond"/>
          <w:i/>
          <w:lang w:val="en-GB"/>
        </w:rPr>
        <w:tab/>
        <w:t>Argument for Extended Assault</w:t>
      </w:r>
      <w:r>
        <w:rPr>
          <w:rFonts w:ascii="Garamond" w:hAnsi="Garamond"/>
          <w:lang w:val="en-GB"/>
        </w:rPr>
        <w:t xml:space="preserve"> (AEA)</w:t>
      </w:r>
    </w:p>
    <w:p w14:paraId="71AB1154" w14:textId="77777777" w:rsidR="00151ACA" w:rsidRDefault="00151ACA" w:rsidP="00151ACA">
      <w:pPr>
        <w:pStyle w:val="BlockQuote"/>
        <w:spacing w:line="360" w:lineRule="auto"/>
        <w:jc w:val="left"/>
        <w:rPr>
          <w:rFonts w:ascii="Garamond" w:hAnsi="Garamond"/>
        </w:rPr>
      </w:pPr>
      <w:r>
        <w:rPr>
          <w:rFonts w:ascii="Garamond" w:hAnsi="Garamond"/>
        </w:rPr>
        <w:t>(P1)</w:t>
      </w:r>
      <w:r>
        <w:rPr>
          <w:rFonts w:ascii="Garamond" w:hAnsi="Garamond"/>
        </w:rPr>
        <w:tab/>
        <w:t>Intentional harm to a part of a person responsible for her mental and other faculties constitutes personal assault. (Definition)</w:t>
      </w:r>
    </w:p>
    <w:p w14:paraId="4AC4AEBD" w14:textId="77777777" w:rsidR="00151ACA" w:rsidRDefault="00151ACA" w:rsidP="00151ACA">
      <w:pPr>
        <w:pStyle w:val="BlockQuote"/>
        <w:spacing w:line="360" w:lineRule="auto"/>
        <w:jc w:val="left"/>
        <w:rPr>
          <w:rFonts w:ascii="Garamond" w:hAnsi="Garamond"/>
          <w:lang w:val="en-GB"/>
        </w:rPr>
      </w:pPr>
      <w:r>
        <w:rPr>
          <w:rFonts w:ascii="Garamond" w:hAnsi="Garamond"/>
        </w:rPr>
        <w:t xml:space="preserve">(P2) </w:t>
      </w:r>
      <w:r>
        <w:rPr>
          <w:rFonts w:ascii="Garamond" w:hAnsi="Garamond"/>
        </w:rPr>
        <w:tab/>
        <w:t xml:space="preserve">Our mental faculties can be partly constituted by external artifacts so long as </w:t>
      </w:r>
      <w:r>
        <w:rPr>
          <w:rFonts w:ascii="Garamond" w:hAnsi="Garamond"/>
        </w:rPr>
        <w:tab/>
        <w:t xml:space="preserve">these artifacts have been appropriately integrated into our overall </w:t>
      </w:r>
      <w:r>
        <w:rPr>
          <w:rFonts w:ascii="Garamond" w:hAnsi="Garamond"/>
        </w:rPr>
        <w:tab/>
        <w:t>cognitive system. (From HEC)</w:t>
      </w:r>
    </w:p>
    <w:p w14:paraId="76705FCC" w14:textId="77777777" w:rsidR="00151ACA" w:rsidRDefault="00151ACA" w:rsidP="00151ACA">
      <w:pPr>
        <w:pStyle w:val="BlockQuote"/>
        <w:spacing w:line="360" w:lineRule="auto"/>
        <w:jc w:val="left"/>
        <w:rPr>
          <w:rFonts w:ascii="Garamond" w:hAnsi="Garamond"/>
        </w:rPr>
      </w:pPr>
      <w:r>
        <w:rPr>
          <w:rFonts w:ascii="Garamond" w:hAnsi="Garamond"/>
        </w:rPr>
        <w:t>(C)</w:t>
      </w:r>
      <w:r>
        <w:rPr>
          <w:rFonts w:ascii="Garamond" w:hAnsi="Garamond"/>
        </w:rPr>
        <w:tab/>
        <w:t xml:space="preserve">Therefore, having our </w:t>
      </w:r>
      <w:r>
        <w:rPr>
          <w:rFonts w:ascii="Garamond" w:hAnsi="Garamond"/>
          <w:i/>
          <w:iCs/>
        </w:rPr>
        <w:t>integrated</w:t>
      </w:r>
      <w:r>
        <w:rPr>
          <w:rFonts w:ascii="Garamond" w:hAnsi="Garamond"/>
        </w:rPr>
        <w:t xml:space="preserve"> epistemic artifacts intentionally </w:t>
      </w:r>
      <w:r>
        <w:rPr>
          <w:rFonts w:ascii="Garamond" w:hAnsi="Garamond"/>
        </w:rPr>
        <w:tab/>
        <w:t xml:space="preserve">   </w:t>
      </w:r>
      <w:r>
        <w:rPr>
          <w:rFonts w:ascii="Garamond" w:hAnsi="Garamond"/>
        </w:rPr>
        <w:tab/>
        <w:t xml:space="preserve">compromised plausibly qualifies as a case of personal assault. (From P1 </w:t>
      </w:r>
      <w:r>
        <w:rPr>
          <w:rFonts w:ascii="Garamond" w:hAnsi="Garamond"/>
          <w:iCs/>
        </w:rPr>
        <w:t xml:space="preserve">and </w:t>
      </w:r>
      <w:r>
        <w:rPr>
          <w:rFonts w:ascii="Garamond" w:hAnsi="Garamond"/>
          <w:iCs/>
        </w:rPr>
        <w:tab/>
      </w:r>
      <w:r>
        <w:rPr>
          <w:rFonts w:ascii="Garamond" w:hAnsi="Garamond"/>
        </w:rPr>
        <w:t>P2)</w:t>
      </w:r>
    </w:p>
    <w:p w14:paraId="50181ED4" w14:textId="77777777" w:rsidR="00151ACA" w:rsidRDefault="00151ACA" w:rsidP="00151ACA">
      <w:pPr>
        <w:jc w:val="left"/>
        <w:rPr>
          <w:rFonts w:ascii="Garamond" w:hAnsi="Garamond"/>
          <w:lang w:val="en-GB"/>
        </w:rPr>
      </w:pPr>
    </w:p>
    <w:p w14:paraId="48637F76" w14:textId="77777777" w:rsidR="00151ACA" w:rsidRDefault="00151ACA" w:rsidP="00151ACA">
      <w:pPr>
        <w:spacing w:line="480" w:lineRule="auto"/>
        <w:jc w:val="left"/>
        <w:rPr>
          <w:rFonts w:ascii="Garamond" w:hAnsi="Garamond"/>
        </w:rPr>
      </w:pPr>
      <w:r>
        <w:rPr>
          <w:rFonts w:ascii="Garamond" w:hAnsi="Garamond"/>
        </w:rPr>
        <w:t xml:space="preserve">Consider first (P1). Obviously, one may try to reject the claim on the grounds that it is unnecessarily permissive regarding what may be the target of personal assault, especially when it seems perfectly sufficient to simply point toward one’s organismic boundaries. And yet, as we saw in the introduction, an increasing number of legal and ethical theorists appear to steer away from such a reductionist approach to personhood and personal assault and move toward a more functionalist understanding of the relevant notions. And this is so even if they take no stance on the matter of whether the hypothesis of extended cognition is correct—indeed, in all likelihood they are entirely unaware of it. </w:t>
      </w:r>
    </w:p>
    <w:p w14:paraId="2C1DA08B" w14:textId="77777777" w:rsidR="00151ACA" w:rsidRDefault="00151ACA" w:rsidP="00151ACA">
      <w:pPr>
        <w:spacing w:line="480" w:lineRule="auto"/>
        <w:jc w:val="left"/>
        <w:rPr>
          <w:rFonts w:ascii="Garamond" w:hAnsi="Garamond"/>
        </w:rPr>
      </w:pPr>
      <w:r>
        <w:rPr>
          <w:rFonts w:ascii="Garamond" w:hAnsi="Garamond"/>
        </w:rPr>
        <w:tab/>
        <w:t xml:space="preserve">A more straightforward way to avoid the conclusion could be to deny (P2) by insisting that the hypothesis of extended cognition is false. This paper is not the place to adjudicate whether (P2) is actually true or false and thus whether AEA is ultimately </w:t>
      </w:r>
      <w:r>
        <w:rPr>
          <w:rFonts w:ascii="Garamond" w:hAnsi="Garamond"/>
          <w:i/>
        </w:rPr>
        <w:t>sound</w:t>
      </w:r>
      <w:r>
        <w:rPr>
          <w:rFonts w:ascii="Garamond" w:hAnsi="Garamond"/>
        </w:rPr>
        <w:t xml:space="preserve">. Rather, the point of AEA is to make explicit that </w:t>
      </w:r>
      <w:r>
        <w:rPr>
          <w:rFonts w:ascii="Garamond" w:hAnsi="Garamond"/>
          <w:i/>
        </w:rPr>
        <w:t xml:space="preserve">if </w:t>
      </w:r>
      <w:r>
        <w:rPr>
          <w:rFonts w:ascii="Garamond" w:hAnsi="Garamond"/>
        </w:rPr>
        <w:t xml:space="preserve">HEC is true, then, in light of independently reasonable and widely embraced assumptions about what personal assault involves, our ethical and legal theorizing and practice should be prepared to include intentional damage of appropriately integrated gadgets </w:t>
      </w:r>
      <w:r>
        <w:rPr>
          <w:rFonts w:ascii="Garamond" w:hAnsi="Garamond"/>
          <w:i/>
        </w:rPr>
        <w:t>within</w:t>
      </w:r>
      <w:r>
        <w:rPr>
          <w:rFonts w:ascii="Garamond" w:hAnsi="Garamond"/>
        </w:rPr>
        <w:t xml:space="preserve"> the category of personal assault—not outside of it.</w:t>
      </w:r>
    </w:p>
    <w:p w14:paraId="07A4C3B3" w14:textId="77777777" w:rsidR="00151ACA" w:rsidRDefault="00151ACA" w:rsidP="00151ACA">
      <w:pPr>
        <w:spacing w:line="480" w:lineRule="auto"/>
        <w:jc w:val="left"/>
        <w:rPr>
          <w:rFonts w:ascii="Garamond" w:hAnsi="Garamond"/>
          <w:lang w:val="en-GB"/>
        </w:rPr>
      </w:pPr>
      <w:r>
        <w:rPr>
          <w:rFonts w:ascii="Garamond" w:hAnsi="Garamond"/>
        </w:rPr>
        <w:tab/>
        <w:t>Moreover, the conditions that our preferred version of HEC specifies may not be so rare to satisfy. On the view we have offered, artifacts are part of our cognitive processing whenever the two of them interact densely on the basis of feedback loops. Whether such biotechnologically hybrid feedback loops will occur rarely or frequently will depend on opportunity conditions, such as the availability of appropriate technology and social norms. For example, during the comparatively technologically unsophisticated seventeenth century, such dense feedback loops were exceedingly rare, perhaps realized in very atypical cases in which an individual would (in a socially unconventional manner) carry around an unwieldy quill, ink, and paper for default information storage and retrieval, using it as a sort of prototypical extended memory.</w:t>
      </w:r>
      <w:r>
        <w:rPr>
          <w:rStyle w:val="FootnoteReference"/>
          <w:rFonts w:ascii="Garamond" w:hAnsi="Garamond"/>
        </w:rPr>
        <w:footnoteReference w:id="13"/>
      </w:r>
      <w:r>
        <w:rPr>
          <w:rFonts w:ascii="Garamond" w:hAnsi="Garamond"/>
        </w:rPr>
        <w:t xml:space="preserve"> Technological progress has shifted dramatically the </w:t>
      </w:r>
      <w:r>
        <w:rPr>
          <w:rFonts w:ascii="Garamond" w:hAnsi="Garamond"/>
          <w:i/>
        </w:rPr>
        <w:t>opportunity conditions</w:t>
      </w:r>
      <w:r>
        <w:rPr>
          <w:rFonts w:ascii="Garamond" w:hAnsi="Garamond"/>
        </w:rPr>
        <w:t xml:space="preserve"> for such dense interactions. Correspondingly, the related shift to the social norms associated with cognitive off-loading technology (e.g., Lynch 2016) has continued to ‘normalize’ the heavy use of external artifacts for carrying out cognitive tasks that were so far executed in a primarily intracranial fashion. For example, dense feedback loops between organismic and technological information-processing are now generated on a day-to-day basis, in entirely normal circumstances, with iPhones, tablets, Google Glasses</w:t>
      </w:r>
      <w:r>
        <w:rPr>
          <w:rFonts w:ascii="Garamond" w:hAnsi="Garamond"/>
          <w:lang w:val="en-GB"/>
        </w:rPr>
        <w:t xml:space="preserve">, smart watches, among other things. If we also factor in the simple observation that none of these possibilities for cognitive off-loading was prevalent or normal even as recently as 10 years ago, then the effect of </w:t>
      </w:r>
      <w:commentRangeStart w:id="16"/>
      <w:r>
        <w:rPr>
          <w:rFonts w:ascii="Garamond" w:hAnsi="Garamond"/>
          <w:lang w:val="en-GB"/>
        </w:rPr>
        <w:t>extrapolation</w:t>
      </w:r>
      <w:commentRangeEnd w:id="16"/>
      <w:r>
        <w:rPr>
          <w:rStyle w:val="CommentReference"/>
        </w:rPr>
        <w:commentReference w:id="16"/>
      </w:r>
      <w:r>
        <w:rPr>
          <w:rFonts w:ascii="Garamond" w:hAnsi="Garamond"/>
          <w:lang w:val="en-GB"/>
        </w:rPr>
        <w:t xml:space="preserve"> is increased</w:t>
      </w:r>
      <w:r>
        <w:rPr>
          <w:rStyle w:val="CommentReference"/>
        </w:rPr>
        <w:commentReference w:id="17"/>
      </w:r>
      <w:r>
        <w:rPr>
          <w:rFonts w:ascii="Garamond" w:hAnsi="Garamond"/>
          <w:lang w:val="en-GB"/>
        </w:rPr>
        <w:t>.</w:t>
      </w:r>
    </w:p>
    <w:p w14:paraId="56F45D47" w14:textId="77777777" w:rsidR="00151ACA" w:rsidRDefault="00151ACA" w:rsidP="00151ACA">
      <w:pPr>
        <w:spacing w:line="480" w:lineRule="auto"/>
        <w:jc w:val="left"/>
        <w:rPr>
          <w:rFonts w:ascii="Garamond" w:hAnsi="Garamond"/>
        </w:rPr>
      </w:pPr>
      <w:r>
        <w:rPr>
          <w:rFonts w:ascii="Garamond" w:hAnsi="Garamond"/>
          <w:lang w:val="en-GB"/>
        </w:rPr>
        <w:tab/>
        <w:t>And</w:t>
      </w:r>
      <w:r>
        <w:rPr>
          <w:rFonts w:ascii="Garamond" w:hAnsi="Garamond"/>
        </w:rPr>
        <w:t xml:space="preserve"> it is not only that there are </w:t>
      </w:r>
      <w:r>
        <w:rPr>
          <w:rFonts w:ascii="Garamond" w:hAnsi="Garamond"/>
          <w:i/>
        </w:rPr>
        <w:t xml:space="preserve">more </w:t>
      </w:r>
      <w:r>
        <w:rPr>
          <w:rFonts w:ascii="Garamond" w:hAnsi="Garamond"/>
        </w:rPr>
        <w:t xml:space="preserve">possibilities for generating mutually interacting biotechnological hybrids as time goes by. Technological progress also allows them to become increasingly </w:t>
      </w:r>
      <w:r>
        <w:rPr>
          <w:rFonts w:ascii="Garamond" w:hAnsi="Garamond"/>
          <w:i/>
        </w:rPr>
        <w:t>subtler</w:t>
      </w:r>
      <w:r>
        <w:rPr>
          <w:rFonts w:ascii="Garamond" w:hAnsi="Garamond"/>
        </w:rPr>
        <w:t xml:space="preserve"> and more </w:t>
      </w:r>
      <w:r>
        <w:rPr>
          <w:rFonts w:ascii="Garamond" w:hAnsi="Garamond"/>
          <w:i/>
        </w:rPr>
        <w:t>intimate</w:t>
      </w:r>
      <w:r>
        <w:rPr>
          <w:rFonts w:ascii="Garamond" w:hAnsi="Garamond"/>
        </w:rPr>
        <w:t>. Our gadgets are becoming physically and visibly smaller</w:t>
      </w:r>
      <w:r>
        <w:rPr>
          <w:rFonts w:ascii="Garamond" w:hAnsi="Garamond"/>
          <w:i/>
        </w:rPr>
        <w:t xml:space="preserve"> </w:t>
      </w:r>
      <w:r>
        <w:rPr>
          <w:rFonts w:ascii="Garamond" w:hAnsi="Garamond"/>
        </w:rPr>
        <w:t>and more discreet. On the basis of well-documented technological trending, it is really just a matter of time before the majority of the cognitive extension gadgetry we use will be by and large seamless and ‘invisible’.</w:t>
      </w:r>
      <w:r>
        <w:rPr>
          <w:rStyle w:val="FootnoteReference"/>
          <w:rFonts w:ascii="Garamond" w:hAnsi="Garamond"/>
        </w:rPr>
        <w:footnoteReference w:id="14"/>
      </w:r>
      <w:r>
        <w:rPr>
          <w:rFonts w:ascii="Garamond" w:hAnsi="Garamond"/>
        </w:rPr>
        <w:t xml:space="preserve"> A striking example for consideration here is Google’s future plans beyond Google Glass, which include the Google ‘smart lens’ project. The aim is to market ‘smart’ contact lenses with tiny wireless chips inside and with a wireless antenna thinner than a human hair. </w:t>
      </w:r>
    </w:p>
    <w:p w14:paraId="77AB4FEC" w14:textId="77777777" w:rsidR="00151ACA" w:rsidRDefault="00151ACA" w:rsidP="00151ACA">
      <w:pPr>
        <w:spacing w:line="480" w:lineRule="auto"/>
        <w:jc w:val="left"/>
        <w:rPr>
          <w:rFonts w:ascii="Garamond" w:hAnsi="Garamond"/>
        </w:rPr>
      </w:pPr>
      <w:r>
        <w:rPr>
          <w:rFonts w:ascii="Garamond" w:hAnsi="Garamond"/>
        </w:rPr>
        <w:tab/>
        <w:t xml:space="preserve">Therefore, if HEC is true, then not only will there be some cases of extended cognition, but there will be </w:t>
      </w:r>
      <w:r>
        <w:rPr>
          <w:rFonts w:ascii="Garamond" w:hAnsi="Garamond"/>
          <w:i/>
        </w:rPr>
        <w:t xml:space="preserve">increasingly more </w:t>
      </w:r>
      <w:r>
        <w:rPr>
          <w:rFonts w:ascii="Garamond" w:hAnsi="Garamond"/>
        </w:rPr>
        <w:t xml:space="preserve">instances of extended cognition being realized in the world and, eventually, increasingly more instances in which—in real-life settings—our </w:t>
      </w:r>
      <w:r>
        <w:rPr>
          <w:rFonts w:ascii="Garamond" w:hAnsi="Garamond"/>
          <w:i/>
          <w:iCs/>
        </w:rPr>
        <w:t>integrated</w:t>
      </w:r>
      <w:r>
        <w:rPr>
          <w:rFonts w:ascii="Garamond" w:hAnsi="Garamond"/>
        </w:rPr>
        <w:t xml:space="preserve"> epistemic artifacts might be intentionally compromised. </w:t>
      </w:r>
    </w:p>
    <w:p w14:paraId="0225F67E" w14:textId="77777777" w:rsidR="00151ACA" w:rsidRDefault="00151ACA" w:rsidP="00151ACA">
      <w:pPr>
        <w:pStyle w:val="Heading1"/>
        <w:jc w:val="left"/>
        <w:rPr>
          <w:rFonts w:ascii="Garamond" w:hAnsi="Garamond"/>
        </w:rPr>
      </w:pPr>
      <w:r>
        <w:rPr>
          <w:rFonts w:ascii="Garamond" w:hAnsi="Garamond"/>
        </w:rPr>
        <w:t>3. Two Case Studies</w:t>
      </w:r>
    </w:p>
    <w:p w14:paraId="056DE6AA" w14:textId="77777777" w:rsidR="00151ACA" w:rsidRDefault="00151ACA" w:rsidP="00151ACA">
      <w:pPr>
        <w:spacing w:line="480" w:lineRule="auto"/>
        <w:jc w:val="left"/>
        <w:rPr>
          <w:rFonts w:ascii="Garamond" w:hAnsi="Garamond"/>
          <w:iCs/>
        </w:rPr>
      </w:pPr>
      <w:r>
        <w:rPr>
          <w:rFonts w:ascii="Garamond" w:hAnsi="Garamond"/>
        </w:rPr>
        <w:t xml:space="preserve">In some respects, legal thinking is catching up with cognitive science. In others ways, there is important room for improvement. Let’s begin with a bit of optimism, though not yet in the arena of assault, </w:t>
      </w:r>
      <w:r w:rsidRPr="00B452B9">
        <w:rPr>
          <w:rFonts w:ascii="Garamond" w:hAnsi="Garamond"/>
          <w:iCs/>
        </w:rPr>
        <w:t>per se</w:t>
      </w:r>
      <w:r>
        <w:rPr>
          <w:rFonts w:ascii="Garamond" w:hAnsi="Garamond"/>
        </w:rPr>
        <w:t xml:space="preserve">. Consider the 2014 landmark US Supreme Court ruling in </w:t>
      </w:r>
      <w:r>
        <w:rPr>
          <w:rFonts w:ascii="Garamond" w:hAnsi="Garamond"/>
          <w:i/>
          <w:iCs/>
        </w:rPr>
        <w:t>Riley v. California.</w:t>
      </w:r>
      <w:r>
        <w:rPr>
          <w:rStyle w:val="FootnoteReference"/>
          <w:rFonts w:ascii="Garamond" w:hAnsi="Garamond"/>
          <w:i/>
          <w:iCs/>
        </w:rPr>
        <w:footnoteReference w:id="15"/>
      </w:r>
      <w:r>
        <w:rPr>
          <w:rFonts w:ascii="Garamond" w:hAnsi="Garamond"/>
          <w:i/>
          <w:iCs/>
        </w:rPr>
        <w:t xml:space="preserve"> </w:t>
      </w:r>
      <w:r>
        <w:rPr>
          <w:rFonts w:ascii="Garamond" w:hAnsi="Garamond"/>
          <w:iCs/>
        </w:rPr>
        <w:t xml:space="preserve">The background is that David </w:t>
      </w:r>
      <w:r>
        <w:rPr>
          <w:rFonts w:ascii="Garamond" w:hAnsi="Garamond"/>
          <w:lang w:val="en-GB"/>
        </w:rPr>
        <w:t xml:space="preserve">Riley, a US citizen living in California, was stopped for a routine traffic violation but was charged with weapons charges after a police officer searching Riley in the course of the arrest had seized Riley’s cell phone and found incriminating evidence on it. Riley had moved to suppress all evidence that the police had obtained from his cell phone; however, the trial court denied the motion, and Riley was convicted. The California Court of Appeal affirmed the lower court’s ruling. </w:t>
      </w:r>
    </w:p>
    <w:p w14:paraId="6436C5A6" w14:textId="77777777" w:rsidR="00151ACA" w:rsidRDefault="00151ACA" w:rsidP="00151ACA">
      <w:pPr>
        <w:spacing w:line="480" w:lineRule="auto"/>
        <w:jc w:val="left"/>
        <w:rPr>
          <w:rFonts w:ascii="Garamond" w:hAnsi="Garamond"/>
        </w:rPr>
      </w:pPr>
      <w:r>
        <w:rPr>
          <w:rFonts w:ascii="Garamond" w:hAnsi="Garamond"/>
          <w:lang w:val="en-GB"/>
        </w:rPr>
        <w:tab/>
        <w:t xml:space="preserve">Nevertheless, in June 2014, the US Supreme Court unanimously </w:t>
      </w:r>
      <w:r>
        <w:rPr>
          <w:rFonts w:ascii="Garamond" w:hAnsi="Garamond"/>
          <w:i/>
          <w:lang w:val="en-GB"/>
        </w:rPr>
        <w:t>overturned</w:t>
      </w:r>
      <w:r>
        <w:rPr>
          <w:rFonts w:ascii="Garamond" w:hAnsi="Garamond"/>
          <w:lang w:val="en-GB"/>
        </w:rPr>
        <w:t xml:space="preserve"> the conviction upheld by the California Court of Appeal. Riley’s original conviction was based on a legal precedent called </w:t>
      </w:r>
      <w:r>
        <w:rPr>
          <w:rFonts w:ascii="Garamond" w:hAnsi="Garamond"/>
          <w:bCs/>
          <w:i/>
        </w:rPr>
        <w:t>search incident to arrest</w:t>
      </w:r>
      <w:r>
        <w:rPr>
          <w:rFonts w:ascii="Garamond" w:hAnsi="Garamond"/>
        </w:rPr>
        <w:t xml:space="preserve"> (</w:t>
      </w:r>
      <w:r>
        <w:rPr>
          <w:rFonts w:ascii="Garamond" w:hAnsi="Garamond"/>
          <w:bCs/>
        </w:rPr>
        <w:t>SITA).</w:t>
      </w:r>
      <w:r>
        <w:rPr>
          <w:rStyle w:val="FootnoteReference"/>
          <w:rFonts w:ascii="Garamond" w:hAnsi="Garamond"/>
          <w:bCs/>
        </w:rPr>
        <w:footnoteReference w:id="16"/>
      </w:r>
      <w:r>
        <w:rPr>
          <w:rFonts w:ascii="Garamond" w:hAnsi="Garamond"/>
          <w:bCs/>
        </w:rPr>
        <w:t xml:space="preserve"> </w:t>
      </w:r>
      <w:r>
        <w:rPr>
          <w:rFonts w:ascii="Garamond" w:hAnsi="Garamond"/>
        </w:rPr>
        <w:t xml:space="preserve">SITA permits arresting police officers to perform, without a warrant, search of an arrested person’s physical area, which is defined as the area within the person’s physical control (see United States v. Rabinowitz </w:t>
      </w:r>
      <w:commentRangeStart w:id="18"/>
      <w:r>
        <w:rPr>
          <w:rFonts w:ascii="Garamond" w:hAnsi="Garamond"/>
        </w:rPr>
        <w:t>1950</w:t>
      </w:r>
      <w:commentRangeEnd w:id="18"/>
      <w:r>
        <w:rPr>
          <w:rStyle w:val="CommentReference"/>
        </w:rPr>
        <w:commentReference w:id="18"/>
      </w:r>
      <w:r>
        <w:rPr>
          <w:rFonts w:ascii="Garamond" w:hAnsi="Garamond"/>
        </w:rPr>
        <w:t xml:space="preserve">). SITA, of course, does not permit a warrantless search of an </w:t>
      </w:r>
      <w:r>
        <w:rPr>
          <w:rFonts w:ascii="Garamond" w:hAnsi="Garamond"/>
          <w:i/>
        </w:rPr>
        <w:t>individual</w:t>
      </w:r>
      <w:r>
        <w:rPr>
          <w:rFonts w:ascii="Garamond" w:hAnsi="Garamond"/>
        </w:rPr>
        <w:t xml:space="preserve">’s physical interior (i.e., an investigation of the contents of one’s leg, arm, or brain) nor any transgression into her private thoughts (i.e., a mandatory lie detector test, in this circumstance, would be unconstitutional) even though it </w:t>
      </w:r>
      <w:r>
        <w:rPr>
          <w:rFonts w:ascii="Garamond" w:hAnsi="Garamond"/>
          <w:i/>
        </w:rPr>
        <w:t>does</w:t>
      </w:r>
      <w:r>
        <w:rPr>
          <w:rFonts w:ascii="Garamond" w:hAnsi="Garamond"/>
        </w:rPr>
        <w:t xml:space="preserve"> permit a warrantless search of the actual physical items in the arrested individual’s pockets or of anything he or she may have immediate access to. </w:t>
      </w:r>
    </w:p>
    <w:p w14:paraId="2449637D" w14:textId="77777777" w:rsidR="00151ACA" w:rsidRDefault="00151ACA" w:rsidP="00151ACA">
      <w:pPr>
        <w:spacing w:line="480" w:lineRule="auto"/>
        <w:jc w:val="left"/>
        <w:rPr>
          <w:rFonts w:ascii="Garamond" w:hAnsi="Garamond"/>
          <w:i/>
        </w:rPr>
      </w:pPr>
      <w:r>
        <w:rPr>
          <w:rFonts w:ascii="Garamond" w:hAnsi="Garamond"/>
        </w:rPr>
        <w:tab/>
        <w:t xml:space="preserve">With respect to material constitution, it is natural to treat a cell phone as just another part of the arrested person’s ‘physical area’, as on a par (for the relevance of SITA) with pens, keys, and such. However, in the written opinion of the court, Chief Justice John Roberts argued that cell phones should be treated very differently in the context of such warrantless searches. His reasoning is interesting and, though Roberts hardly embraces the extended cognition approach of philosophy of cognitive science explicitly, his remarks in delivering the court’s opinion betray some clear sympathy. Roberts writes that </w:t>
      </w:r>
    </w:p>
    <w:p w14:paraId="2E7A7612" w14:textId="77777777" w:rsidR="00151ACA" w:rsidRDefault="00151ACA" w:rsidP="00151ACA">
      <w:pPr>
        <w:spacing w:line="360" w:lineRule="auto"/>
        <w:ind w:left="720"/>
        <w:jc w:val="left"/>
        <w:rPr>
          <w:rFonts w:ascii="Garamond" w:hAnsi="Garamond"/>
        </w:rPr>
      </w:pPr>
      <w:r>
        <w:rPr>
          <w:rFonts w:ascii="Garamond" w:hAnsi="Garamond"/>
        </w:rPr>
        <w:t xml:space="preserve">modern cell phones . . . are now such a pervasive and insistent part of daily life that the proverbial visitor from Mars might conclude they were an important </w:t>
      </w:r>
      <w:r>
        <w:rPr>
          <w:rFonts w:ascii="Garamond" w:hAnsi="Garamond"/>
          <w:i/>
          <w:iCs/>
        </w:rPr>
        <w:t xml:space="preserve">feature of human anatomy. </w:t>
      </w:r>
      <w:r w:rsidRPr="00B452B9">
        <w:rPr>
          <w:rFonts w:ascii="Garamond" w:hAnsi="Garamond"/>
        </w:rPr>
        <w:t xml:space="preserve">Modern cell phones are not just another technological convenience. With all they contain and all they may reveal, they hold for many Americans </w:t>
      </w:r>
      <w:r>
        <w:rPr>
          <w:rFonts w:ascii="Garamond" w:hAnsi="Garamond"/>
        </w:rPr>
        <w:t>‘</w:t>
      </w:r>
      <w:r w:rsidRPr="00B452B9">
        <w:rPr>
          <w:rFonts w:ascii="Garamond" w:hAnsi="Garamond"/>
        </w:rPr>
        <w:t>the privacies of life</w:t>
      </w:r>
      <w:r>
        <w:rPr>
          <w:rFonts w:ascii="Garamond" w:hAnsi="Garamond"/>
        </w:rPr>
        <w:t>’</w:t>
      </w:r>
      <w:r w:rsidRPr="00B452B9">
        <w:rPr>
          <w:rFonts w:ascii="Garamond" w:hAnsi="Garamond"/>
        </w:rPr>
        <w:t xml:space="preserve">. The fact that technology now allows an individual to carry such information in his hand does not make the information any less worthy of the protection for which the Founders </w:t>
      </w:r>
      <w:commentRangeStart w:id="19"/>
      <w:r w:rsidRPr="00B452B9">
        <w:rPr>
          <w:rFonts w:ascii="Garamond" w:hAnsi="Garamond"/>
        </w:rPr>
        <w:t>fought</w:t>
      </w:r>
      <w:commentRangeEnd w:id="19"/>
      <w:r>
        <w:rPr>
          <w:rStyle w:val="CommentReference"/>
        </w:rPr>
        <w:commentReference w:id="19"/>
      </w:r>
      <w:r>
        <w:rPr>
          <w:rFonts w:ascii="Garamond" w:hAnsi="Garamond"/>
        </w:rPr>
        <w:t xml:space="preserve"> (2014: 17-18)</w:t>
      </w:r>
      <w:r w:rsidRPr="00B452B9">
        <w:rPr>
          <w:rFonts w:ascii="Garamond" w:hAnsi="Garamond"/>
        </w:rPr>
        <w:t>.</w:t>
      </w:r>
      <w:r>
        <w:rPr>
          <w:rFonts w:ascii="Garamond" w:hAnsi="Garamond"/>
        </w:rPr>
        <w:t xml:space="preserve"> (Italics added) </w:t>
      </w:r>
    </w:p>
    <w:p w14:paraId="2B106B34" w14:textId="77777777" w:rsidR="00151ACA" w:rsidRDefault="00151ACA" w:rsidP="00151ACA">
      <w:pPr>
        <w:spacing w:line="360" w:lineRule="auto"/>
        <w:ind w:left="720"/>
        <w:jc w:val="left"/>
        <w:rPr>
          <w:rFonts w:ascii="Garamond" w:hAnsi="Garamond"/>
          <w:lang w:val="en-GB"/>
        </w:rPr>
      </w:pPr>
    </w:p>
    <w:p w14:paraId="2FED7B7D" w14:textId="77777777" w:rsidR="00151ACA" w:rsidRDefault="00151ACA" w:rsidP="00151ACA">
      <w:pPr>
        <w:spacing w:line="480" w:lineRule="auto"/>
        <w:jc w:val="left"/>
        <w:rPr>
          <w:rFonts w:ascii="Garamond" w:hAnsi="Garamond"/>
        </w:rPr>
      </w:pPr>
      <w:r>
        <w:rPr>
          <w:rFonts w:ascii="Garamond" w:hAnsi="Garamond"/>
        </w:rPr>
        <w:t>Strikingly, Roberts’s assessment here coincides more or less with the point Clark (2010) makes when defending certain kinds of extended memory by pointing out the functional similarities between biological parts and well-integrated technological parts.</w:t>
      </w:r>
      <w:r>
        <w:rPr>
          <w:rStyle w:val="FootnoteReference"/>
          <w:rFonts w:ascii="Garamond" w:hAnsi="Garamond"/>
        </w:rPr>
        <w:footnoteReference w:id="17"/>
      </w:r>
      <w:r>
        <w:rPr>
          <w:rFonts w:ascii="Garamond" w:hAnsi="Garamond"/>
        </w:rPr>
        <w:t xml:space="preserve"> A Martian’s silicon-based memory system may be made out of materials different from those used in an earthling’s memory system, but it would still count as a memory system because it is functionally equivalent to what we call a memory system. But if an earthling had a smartphone that was made out of the same stuff as the Martian’s memory system and also provided its owner with the same functionality that is provided by both the Martian’s and the earthling’s biological memory systems, then on what grounds would we deny that the smartphone is part of the earthling’s memory system?</w:t>
      </w:r>
    </w:p>
    <w:p w14:paraId="44A73CD5" w14:textId="77777777" w:rsidR="00151ACA" w:rsidRDefault="00151ACA" w:rsidP="00151ACA">
      <w:pPr>
        <w:spacing w:line="480" w:lineRule="auto"/>
        <w:jc w:val="left"/>
        <w:rPr>
          <w:rFonts w:ascii="Garamond" w:hAnsi="Garamond"/>
        </w:rPr>
      </w:pPr>
      <w:r>
        <w:rPr>
          <w:rFonts w:ascii="Garamond" w:hAnsi="Garamond"/>
        </w:rPr>
        <w:tab/>
        <w:t>Apparently, thinking along similar lines and given the lack of a convincing response, Supreme Court Justice Samuel Alito noted in his concurring opinion that the changing nature of cell phones’ functions and the way we interact with them demand a rethinking of the bounds of SITA; as he put it, modern cell phones now afford an individual an ability to store information ‘that no person would ever [</w:t>
      </w:r>
      <w:r w:rsidRPr="00B452B9">
        <w:rPr>
          <w:rFonts w:ascii="Garamond" w:hAnsi="Garamond"/>
          <w:i/>
          <w:iCs/>
        </w:rPr>
        <w:t>sic</w:t>
      </w:r>
      <w:r>
        <w:rPr>
          <w:rFonts w:ascii="Garamond" w:hAnsi="Garamond"/>
        </w:rPr>
        <w:t xml:space="preserve"> previously] have had on his person in hard-copy </w:t>
      </w:r>
      <w:commentRangeStart w:id="20"/>
      <w:r>
        <w:rPr>
          <w:rFonts w:ascii="Garamond" w:hAnsi="Garamond"/>
        </w:rPr>
        <w:t>form</w:t>
      </w:r>
      <w:commentRangeEnd w:id="20"/>
      <w:r>
        <w:rPr>
          <w:rStyle w:val="CommentReference"/>
        </w:rPr>
        <w:commentReference w:id="20"/>
      </w:r>
      <w:r>
        <w:rPr>
          <w:rFonts w:ascii="Garamond" w:hAnsi="Garamond"/>
        </w:rPr>
        <w:t xml:space="preserve"> (2014: 2469-67)’. Of course, what goes for cell phones in this case should go, </w:t>
      </w:r>
      <w:r>
        <w:rPr>
          <w:rFonts w:ascii="Garamond" w:hAnsi="Garamond"/>
          <w:i/>
        </w:rPr>
        <w:t>mutatis mutandis</w:t>
      </w:r>
      <w:r>
        <w:rPr>
          <w:rFonts w:ascii="Garamond" w:hAnsi="Garamond"/>
        </w:rPr>
        <w:t>, for similar gadgets, including smart watches, Google Glasses, and in the near future even Google contact lenses.</w:t>
      </w:r>
    </w:p>
    <w:p w14:paraId="5ED589B9" w14:textId="77777777" w:rsidR="00151ACA" w:rsidRDefault="00151ACA" w:rsidP="00151ACA">
      <w:pPr>
        <w:spacing w:line="480" w:lineRule="auto"/>
        <w:jc w:val="left"/>
        <w:rPr>
          <w:rFonts w:ascii="Garamond" w:hAnsi="Garamond"/>
          <w:i/>
          <w:lang w:val="en-GB"/>
        </w:rPr>
      </w:pPr>
      <w:r>
        <w:rPr>
          <w:rFonts w:ascii="Garamond" w:hAnsi="Garamond"/>
        </w:rPr>
        <w:tab/>
        <w:t xml:space="preserve">To reiterate, </w:t>
      </w:r>
      <w:r>
        <w:rPr>
          <w:rFonts w:ascii="Garamond" w:hAnsi="Garamond"/>
          <w:i/>
        </w:rPr>
        <w:t>Riley v. California</w:t>
      </w:r>
      <w:r>
        <w:rPr>
          <w:rFonts w:ascii="Garamond" w:hAnsi="Garamond"/>
        </w:rPr>
        <w:t xml:space="preserve"> is not a case that establishes (or even purports to establish) that harming an individual’s gadgets is a form of personal assault. There is unsurprisingly no such legal precedent—yet. Instead, we register </w:t>
      </w:r>
      <w:r>
        <w:rPr>
          <w:rFonts w:ascii="Garamond" w:hAnsi="Garamond"/>
          <w:i/>
        </w:rPr>
        <w:t>Riley v. California</w:t>
      </w:r>
      <w:r>
        <w:rPr>
          <w:rFonts w:ascii="Garamond" w:hAnsi="Garamond"/>
        </w:rPr>
        <w:t xml:space="preserve"> as a landmark case that features an important shift in legal thinking concerning the technology we densely interact with. And this, we think, is a shift in the right direction: Verdicts like </w:t>
      </w:r>
      <w:r>
        <w:rPr>
          <w:rFonts w:ascii="Garamond" w:hAnsi="Garamond"/>
          <w:i/>
        </w:rPr>
        <w:t>Riley v. California</w:t>
      </w:r>
      <w:r>
        <w:rPr>
          <w:rFonts w:ascii="Garamond" w:hAnsi="Garamond"/>
        </w:rPr>
        <w:t xml:space="preserve"> are important precursors to what we suspect will be a future recognition of the kind of extended assault that (as we argued in section 2) is implied by HEC.</w:t>
      </w:r>
    </w:p>
    <w:p w14:paraId="41116FF3" w14:textId="77777777" w:rsidR="00151ACA" w:rsidRDefault="00151ACA" w:rsidP="00151ACA">
      <w:pPr>
        <w:spacing w:line="480" w:lineRule="auto"/>
        <w:jc w:val="left"/>
        <w:rPr>
          <w:rFonts w:ascii="Garamond" w:hAnsi="Garamond"/>
        </w:rPr>
      </w:pPr>
      <w:r>
        <w:rPr>
          <w:rFonts w:ascii="Garamond" w:hAnsi="Garamond"/>
        </w:rPr>
        <w:tab/>
        <w:t xml:space="preserve">A second case we want to consider shows why a more dramatic shift in thinking is required to accommodate what are—by the lights of HEC—real-life extended cognizers. The example we think is most suggestive on this score involves Neil Harbisson, a British artist and cyborg activist who was born with achromatopsia, a condition that left him able to see only monochromatically. Despite being born with this </w:t>
      </w:r>
      <w:proofErr w:type="gramStart"/>
      <w:r>
        <w:rPr>
          <w:rFonts w:ascii="Garamond" w:hAnsi="Garamond"/>
        </w:rPr>
        <w:t>condition,</w:t>
      </w:r>
      <w:proofErr w:type="gramEnd"/>
      <w:r>
        <w:rPr>
          <w:rFonts w:ascii="Garamond" w:hAnsi="Garamond"/>
        </w:rPr>
        <w:t xml:space="preserve"> colors are no longer imperceptible to him. For the past 10 years, Harbisson has been able to </w:t>
      </w:r>
      <w:r>
        <w:rPr>
          <w:rFonts w:ascii="Garamond" w:hAnsi="Garamond"/>
          <w:i/>
        </w:rPr>
        <w:t>hear</w:t>
      </w:r>
      <w:r>
        <w:rPr>
          <w:rFonts w:ascii="Garamond" w:hAnsi="Garamond"/>
        </w:rPr>
        <w:t xml:space="preserve"> colors thanks to his ‘eyeborg’, a device that is osseointigrated inside his skull, specifically in his occipital bone, and that converts visible colors into sound waves.</w:t>
      </w:r>
      <w:r>
        <w:rPr>
          <w:rStyle w:val="FootnoteReference"/>
          <w:rFonts w:ascii="Garamond" w:hAnsi="Garamond"/>
        </w:rPr>
        <w:footnoteReference w:id="18"/>
      </w:r>
      <w:r>
        <w:rPr>
          <w:rFonts w:ascii="Garamond" w:hAnsi="Garamond"/>
        </w:rPr>
        <w:t xml:space="preserve"> He now has a favorite color: aubergine. </w:t>
      </w:r>
    </w:p>
    <w:p w14:paraId="55008CC6" w14:textId="77777777" w:rsidR="00151ACA" w:rsidRDefault="00151ACA" w:rsidP="00151ACA">
      <w:pPr>
        <w:spacing w:line="480" w:lineRule="auto"/>
        <w:jc w:val="left"/>
        <w:rPr>
          <w:rFonts w:ascii="Garamond" w:hAnsi="Garamond"/>
        </w:rPr>
      </w:pPr>
      <w:r>
        <w:rPr>
          <w:rFonts w:ascii="Garamond" w:hAnsi="Garamond"/>
        </w:rPr>
        <w:tab/>
        <w:t>As Harbisson writes:</w:t>
      </w:r>
    </w:p>
    <w:p w14:paraId="11257D6C" w14:textId="77777777" w:rsidR="00151ACA" w:rsidRDefault="00151ACA" w:rsidP="00151ACA">
      <w:pPr>
        <w:pStyle w:val="Compact"/>
        <w:spacing w:line="360" w:lineRule="auto"/>
        <w:jc w:val="left"/>
        <w:rPr>
          <w:rFonts w:ascii="Garamond" w:hAnsi="Garamond"/>
        </w:rPr>
      </w:pPr>
      <w:r>
        <w:rPr>
          <w:rFonts w:ascii="Garamond" w:hAnsi="Garamond"/>
        </w:rPr>
        <w:tab/>
        <w:t xml:space="preserve">I started using it 24 hours a day, carrying it around in a backpack and feeling that the </w:t>
      </w:r>
      <w:r>
        <w:rPr>
          <w:rFonts w:ascii="Garamond" w:hAnsi="Garamond"/>
        </w:rPr>
        <w:tab/>
        <w:t xml:space="preserve">cybernetic device, the eyeborg, and my organism were completely connected. I haven’t </w:t>
      </w:r>
      <w:r>
        <w:rPr>
          <w:rFonts w:ascii="Garamond" w:hAnsi="Garamond"/>
        </w:rPr>
        <w:tab/>
        <w:t>taken it off my head since 2004, except to change the equipment when it breaks</w:t>
      </w:r>
      <w:r>
        <w:rPr>
          <w:rStyle w:val="FootnoteReference"/>
          <w:rFonts w:ascii="Garamond" w:hAnsi="Garamond"/>
        </w:rPr>
        <w:footnoteReference w:id="19"/>
      </w:r>
      <w:r>
        <w:rPr>
          <w:rFonts w:ascii="Garamond" w:hAnsi="Garamond"/>
        </w:rPr>
        <w:t>.</w:t>
      </w:r>
    </w:p>
    <w:p w14:paraId="66494484" w14:textId="77777777" w:rsidR="00151ACA" w:rsidRDefault="00151ACA" w:rsidP="00151ACA">
      <w:pPr>
        <w:spacing w:line="480" w:lineRule="auto"/>
        <w:jc w:val="left"/>
        <w:rPr>
          <w:rFonts w:ascii="Garamond" w:hAnsi="Garamond"/>
        </w:rPr>
      </w:pPr>
      <w:r>
        <w:rPr>
          <w:rFonts w:ascii="Garamond" w:hAnsi="Garamond"/>
        </w:rPr>
        <w:tab/>
        <w:t xml:space="preserve">Interestingly, in 2004 and after some months of initial difficulty, Harbisson’s integration of the eyeborg was instrumental in successfully persuading the UK Passport Agency to allow him to include the eyeborg in his passport photo. The passport agency initially insisted that he had to remove it for the official photo in the same way one is required to remove an electronic device or a hat. However, Harbisson’s argument for its inclusion in the photo was that the eyeborg was a </w:t>
      </w:r>
      <w:r>
        <w:rPr>
          <w:rFonts w:ascii="Garamond" w:hAnsi="Garamond"/>
          <w:i/>
        </w:rPr>
        <w:t>part of his body</w:t>
      </w:r>
      <w:r>
        <w:rPr>
          <w:rFonts w:ascii="Garamond" w:hAnsi="Garamond"/>
        </w:rPr>
        <w:t xml:space="preserve">, not something extra to it—an argument that was supported by his doctor and others in their letters to the passport agency (Miah </w:t>
      </w:r>
      <w:r>
        <w:rPr>
          <w:rFonts w:ascii="Garamond" w:hAnsi="Garamond"/>
          <w:iCs/>
        </w:rPr>
        <w:t xml:space="preserve">and </w:t>
      </w:r>
      <w:r>
        <w:rPr>
          <w:rFonts w:ascii="Garamond" w:hAnsi="Garamond"/>
        </w:rPr>
        <w:t xml:space="preserve">Rich 2008). Harbisson’s self-perspective was that ‘he became a cyborg when the union between his organism and his antenna created a new sense’ (Serra </w:t>
      </w:r>
      <w:commentRangeStart w:id="21"/>
      <w:r>
        <w:rPr>
          <w:rFonts w:ascii="Garamond" w:hAnsi="Garamond"/>
        </w:rPr>
        <w:t>2011</w:t>
      </w:r>
      <w:commentRangeEnd w:id="21"/>
      <w:r>
        <w:rPr>
          <w:rStyle w:val="CommentReference"/>
        </w:rPr>
        <w:commentReference w:id="21"/>
      </w:r>
      <w:r>
        <w:rPr>
          <w:rFonts w:ascii="Garamond" w:hAnsi="Garamond"/>
        </w:rPr>
        <w:t xml:space="preserve">; </w:t>
      </w:r>
      <w:hyperlink r:id="rId9" w:history="1">
        <w:r>
          <w:rPr>
            <w:rStyle w:val="Hyperlink"/>
            <w:rFonts w:ascii="Garamond" w:hAnsi="Garamond"/>
          </w:rPr>
          <w:t>http://www.ara.cat/societat/No-blancs-negres-tots taronges_0_411558847.html</w:t>
        </w:r>
      </w:hyperlink>
      <w:r>
        <w:rPr>
          <w:rFonts w:ascii="Garamond" w:hAnsi="Garamond"/>
        </w:rPr>
        <w:t>).</w:t>
      </w:r>
    </w:p>
    <w:p w14:paraId="23D66335" w14:textId="77777777" w:rsidR="00151ACA" w:rsidRDefault="00151ACA" w:rsidP="00151ACA">
      <w:pPr>
        <w:spacing w:line="480" w:lineRule="auto"/>
        <w:jc w:val="left"/>
        <w:rPr>
          <w:rFonts w:ascii="Garamond" w:hAnsi="Garamond"/>
        </w:rPr>
      </w:pPr>
      <w:r>
        <w:rPr>
          <w:rFonts w:ascii="Garamond" w:hAnsi="Garamond"/>
        </w:rPr>
        <w:tab/>
        <w:t>The wider legal situation for Harbisson has been more complicated, however. In 2012, police approached Harbisson at a demonstration (believing that he was using his eyeborg to film them) and in the process tried to pull the device off his head. Now suppose that, in the process, Neil’s eyeborg had been damaged and as a result of this his auditory color spectrum had been confusingly inverted.</w:t>
      </w:r>
      <w:r>
        <w:rPr>
          <w:rStyle w:val="FootnoteReference"/>
          <w:rFonts w:ascii="Garamond" w:hAnsi="Garamond"/>
        </w:rPr>
        <w:footnoteReference w:id="20"/>
      </w:r>
      <w:r>
        <w:rPr>
          <w:rFonts w:ascii="Garamond" w:hAnsi="Garamond"/>
        </w:rPr>
        <w:t xml:space="preserve"> Also suppose that all that had been damaged in the scuffle was just the eyeborg device, leaving Harbisson’s biological body entirely untouched. With the above in mind, would you say that we should regard Harbisson as having been personally </w:t>
      </w:r>
      <w:r>
        <w:rPr>
          <w:rFonts w:ascii="Garamond" w:hAnsi="Garamond"/>
          <w:i/>
        </w:rPr>
        <w:t>assaulted</w:t>
      </w:r>
      <w:r>
        <w:rPr>
          <w:rFonts w:ascii="Garamond" w:hAnsi="Garamond"/>
        </w:rPr>
        <w:t>, or should the inversion of his color spectrum via intentional harm to the eyeborg be understood as being property damage?</w:t>
      </w:r>
    </w:p>
    <w:p w14:paraId="72A8A744" w14:textId="77777777" w:rsidR="00151ACA" w:rsidRDefault="00151ACA" w:rsidP="00151ACA">
      <w:pPr>
        <w:spacing w:line="480" w:lineRule="auto"/>
        <w:jc w:val="left"/>
        <w:rPr>
          <w:rFonts w:ascii="Garamond" w:hAnsi="Garamond"/>
        </w:rPr>
      </w:pPr>
      <w:r>
        <w:rPr>
          <w:rFonts w:ascii="Garamond" w:hAnsi="Garamond"/>
        </w:rPr>
        <w:tab/>
        <w:t xml:space="preserve">We contend that an interpretation of personal assault along the lines of HEC generates the more intuitive answer. It’s not hard to see how compromising Harbisson’s eyeborg in such a way would be in all relevant respects the same </w:t>
      </w:r>
      <w:r>
        <w:rPr>
          <w:rFonts w:ascii="Garamond" w:hAnsi="Garamond"/>
          <w:i/>
        </w:rPr>
        <w:t>kind</w:t>
      </w:r>
      <w:r>
        <w:rPr>
          <w:rFonts w:ascii="Garamond" w:hAnsi="Garamond"/>
        </w:rPr>
        <w:t xml:space="preserve"> of harm an individual with otherwise perfectly healthy eyesight would incur if her color spectrum were confusingly manipulated against her will. Put another way, if Harbisson’s eyeborg were intentionally corrupted, an assessment of this offense as anything other than personal assault would seem to betray a kind of unprincipled ‘bioprejudice’, where a disproportionate weight is given to the physical constitution of the material realizers of one’s faculties over their functional role. After all, the passport agency had already recognized Harbisson’s eyeborg as part of his body, and this is clearly a part of his extended body responsible for his mental and other faculties. </w:t>
      </w:r>
    </w:p>
    <w:p w14:paraId="4B25D2B0" w14:textId="77777777" w:rsidR="00151ACA" w:rsidRDefault="00151ACA" w:rsidP="00151ACA">
      <w:pPr>
        <w:spacing w:line="480" w:lineRule="auto"/>
        <w:jc w:val="left"/>
        <w:rPr>
          <w:rFonts w:ascii="Garamond" w:hAnsi="Garamond"/>
        </w:rPr>
      </w:pPr>
      <w:r>
        <w:rPr>
          <w:rFonts w:ascii="Garamond" w:hAnsi="Garamond"/>
        </w:rPr>
        <w:tab/>
        <w:t xml:space="preserve">We compare </w:t>
      </w:r>
      <w:r>
        <w:rPr>
          <w:rFonts w:ascii="Garamond" w:hAnsi="Garamond"/>
          <w:i/>
        </w:rPr>
        <w:t xml:space="preserve">Riley v. California </w:t>
      </w:r>
      <w:r>
        <w:rPr>
          <w:rFonts w:ascii="Garamond" w:hAnsi="Garamond"/>
        </w:rPr>
        <w:t xml:space="preserve">and the case of Neil Harbisson because the former shows how legal thinking might be moving in the direction of the conclusion of AEA and the latter shows that </w:t>
      </w:r>
      <w:r>
        <w:rPr>
          <w:rFonts w:ascii="Garamond" w:hAnsi="Garamond"/>
          <w:i/>
        </w:rPr>
        <w:t xml:space="preserve">failure </w:t>
      </w:r>
      <w:r>
        <w:rPr>
          <w:rFonts w:ascii="Garamond" w:hAnsi="Garamond"/>
        </w:rPr>
        <w:t>to embrace its conclusion would seem to generate an unwanted biochauvinistic legal and ethical prejudice.</w:t>
      </w:r>
    </w:p>
    <w:p w14:paraId="051094DD" w14:textId="77777777" w:rsidR="00151ACA" w:rsidRDefault="00151ACA" w:rsidP="00151ACA">
      <w:pPr>
        <w:spacing w:line="360" w:lineRule="auto"/>
        <w:jc w:val="left"/>
        <w:rPr>
          <w:rFonts w:ascii="Garamond" w:hAnsi="Garamond"/>
        </w:rPr>
      </w:pPr>
    </w:p>
    <w:p w14:paraId="682B9D7A" w14:textId="77777777" w:rsidR="00151ACA" w:rsidRDefault="00151ACA" w:rsidP="00151ACA">
      <w:pPr>
        <w:spacing w:line="480" w:lineRule="auto"/>
        <w:jc w:val="left"/>
        <w:rPr>
          <w:rFonts w:ascii="Garamond" w:hAnsi="Garamond"/>
          <w:b/>
        </w:rPr>
      </w:pPr>
      <w:r>
        <w:rPr>
          <w:rFonts w:ascii="Garamond" w:hAnsi="Garamond"/>
          <w:b/>
        </w:rPr>
        <w:t>4. Discussion</w:t>
      </w:r>
    </w:p>
    <w:p w14:paraId="6C453E30" w14:textId="77777777" w:rsidR="00151ACA" w:rsidRDefault="00151ACA" w:rsidP="00151ACA">
      <w:pPr>
        <w:spacing w:line="480" w:lineRule="auto"/>
        <w:jc w:val="left"/>
        <w:rPr>
          <w:rFonts w:ascii="Garamond" w:hAnsi="Garamond"/>
        </w:rPr>
      </w:pPr>
      <w:r>
        <w:rPr>
          <w:rFonts w:ascii="Garamond" w:hAnsi="Garamond"/>
        </w:rPr>
        <w:t xml:space="preserve">But what is it exactly we are proposing for consideration? How could a jury plausibly decide that a case of having one’s gadget compromised counts as a case of personal assault? One way to make this clear is to think about the following case. Subject 1 and Subject 2 have both downloaded and installed an application that turns out to contain some malware that was intentionally planted by a hacker. As a result, both laptop operations are fatally disrupted. The only difference is that the laptop of Subject 1 is new—in fact, the infected application was one of the very first to be installed—whereas Subject 2 has already had his laptop for a couple of years. During this time, Subject 2 has moved the computer’s default and customized folders, has set up shortcuts, mouse pad preferences, push notifications, and he has changed the way folders are ordered, the places where files are automatically stored. Moreover, he has set up default programs for opening a number of different files, installed an antivirus program and configured the preferences, set up ad-blocker exemptions, and so </w:t>
      </w:r>
      <w:commentRangeStart w:id="22"/>
      <w:r>
        <w:rPr>
          <w:rFonts w:ascii="Garamond" w:hAnsi="Garamond"/>
        </w:rPr>
        <w:t>on</w:t>
      </w:r>
      <w:commentRangeEnd w:id="22"/>
      <w:r>
        <w:rPr>
          <w:rStyle w:val="CommentReference"/>
        </w:rPr>
        <w:commentReference w:id="22"/>
      </w:r>
      <w:r>
        <w:rPr>
          <w:rFonts w:ascii="Garamond" w:hAnsi="Garamond"/>
        </w:rPr>
        <w:t xml:space="preserve">. In this way, Subject 2, unlike Subject 1, has spent a significant amount of time to tailor his laptop in a way that allows him to fluently carry out the cognitive tasks he habitually performs on its basis—many of which plausibly constitute the kind of person he is. In other words, Subject 2—unlike Subject 1—has set up all these small details that allow him to mutually interact with his laptop in a continuous and fluent way. In the light of HEC, this is a clear indication that the two systems constitute an extended cognitive system. Accordingly, if AEA is taken to its conclusion, the result is that Subject 2—unlike Subject 1—is the victim of (extended) personal assault, because the damaged laptop does not just constitute property for him but rather is part of the cognitive machinery that makes up the kind of person he is.   </w:t>
      </w:r>
    </w:p>
    <w:p w14:paraId="376FB4B8" w14:textId="77777777" w:rsidR="00151ACA" w:rsidRDefault="00151ACA" w:rsidP="00151ACA">
      <w:pPr>
        <w:spacing w:line="480" w:lineRule="auto"/>
        <w:rPr>
          <w:rFonts w:ascii="Garamond" w:hAnsi="Garamond"/>
        </w:rPr>
      </w:pPr>
      <w:r>
        <w:rPr>
          <w:rFonts w:ascii="Garamond" w:hAnsi="Garamond"/>
        </w:rPr>
        <w:tab/>
        <w:t>In other words, we suggest: Just as in the case of cognitive extension so in the case of (extended) personal assault, whenever an individual’s mental powers and faculties rely for their operation on continuous mutual interactions between some of the individual’s organismic faculties and some artifact of hers, we have sufficient indication that the relevant person—and her legal and ethical rights against personal assault—should be extended to include the artifacts involved.</w:t>
      </w:r>
      <w:r>
        <w:rPr>
          <w:rStyle w:val="FootnoteReference"/>
          <w:rFonts w:ascii="Garamond" w:hAnsi="Garamond"/>
        </w:rPr>
        <w:footnoteReference w:id="21"/>
      </w:r>
    </w:p>
    <w:p w14:paraId="5374C54B" w14:textId="77777777" w:rsidR="00151ACA" w:rsidRDefault="00151ACA" w:rsidP="00151ACA">
      <w:pPr>
        <w:spacing w:line="480" w:lineRule="auto"/>
        <w:jc w:val="left"/>
        <w:rPr>
          <w:rFonts w:ascii="Garamond" w:hAnsi="Garamond"/>
        </w:rPr>
      </w:pPr>
      <w:r>
        <w:rPr>
          <w:rFonts w:ascii="Garamond" w:hAnsi="Garamond"/>
        </w:rPr>
        <w:tab/>
        <w:t xml:space="preserve">An anticipated objection to this approach of including intentional damage to artifacts like the ones mentioned above under the category of personal assault is the claim that such artifacts are not really parts of one’s person because unlike body parts, they can be easily replaced by new ones. Initially this may be a tempting response, but it is one that is ultimately bound to fail. If anything, it has the somewhat disconcerting implication that once bionic limbs become as functionally successful as real limbs, then serious and intentional bodily injury—one that could potentially lead to amputation—would be downgraded from counting as personal assault to counting as damage of personal property. </w:t>
      </w:r>
    </w:p>
    <w:p w14:paraId="41C1AEE7" w14:textId="77777777" w:rsidR="00151ACA" w:rsidRDefault="00151ACA" w:rsidP="00151ACA">
      <w:pPr>
        <w:spacing w:line="480" w:lineRule="auto"/>
        <w:jc w:val="left"/>
        <w:rPr>
          <w:rFonts w:ascii="Garamond" w:hAnsi="Garamond"/>
        </w:rPr>
      </w:pPr>
      <w:r>
        <w:rPr>
          <w:rFonts w:ascii="Garamond" w:hAnsi="Garamond"/>
        </w:rPr>
        <w:tab/>
        <w:t xml:space="preserve">Of course, it is possible to further insist on the difference between organismic body parts and external artifacts by noting that biological body parts, unlike electronic devices, are not simply hardware whose behavior is -guided by some digital software that can be easily stored in the cloud any time we like. Biological body parts also have a number of </w:t>
      </w:r>
      <w:r>
        <w:rPr>
          <w:rFonts w:ascii="Garamond" w:hAnsi="Garamond"/>
          <w:i/>
        </w:rPr>
        <w:t>analogue</w:t>
      </w:r>
      <w:r>
        <w:rPr>
          <w:rFonts w:ascii="Garamond" w:hAnsi="Garamond"/>
        </w:rPr>
        <w:t xml:space="preserve"> features (such as muscle memory) whose dynamic status </w:t>
      </w:r>
      <w:r>
        <w:rPr>
          <w:rFonts w:ascii="Garamond" w:hAnsi="Garamond"/>
          <w:i/>
        </w:rPr>
        <w:t>continuously</w:t>
      </w:r>
      <w:r>
        <w:rPr>
          <w:rFonts w:ascii="Garamond" w:hAnsi="Garamond"/>
        </w:rPr>
        <w:t xml:space="preserve"> feeds back to one’s physiological, peripheral, and central nervous systems. Such analogue features, however, could not be backed up or replicated as easily as the state of a laptop’s operating system. This is a very interesting objection, a reply to which can reveal a number of instructive observations.</w:t>
      </w:r>
    </w:p>
    <w:p w14:paraId="3E5FB9E5" w14:textId="77777777" w:rsidR="00151ACA" w:rsidRDefault="00151ACA" w:rsidP="00151ACA">
      <w:pPr>
        <w:spacing w:line="480" w:lineRule="auto"/>
        <w:jc w:val="left"/>
        <w:rPr>
          <w:rFonts w:ascii="Garamond" w:hAnsi="Garamond"/>
        </w:rPr>
      </w:pPr>
      <w:r>
        <w:rPr>
          <w:rFonts w:ascii="Garamond" w:hAnsi="Garamond"/>
        </w:rPr>
        <w:tab/>
        <w:t xml:space="preserve">First off, even though most contemporary information-processing artifacts operate mainly on the basis of their digital features—with the parameters of their analogue features remaining static and entirely unaffected throughout the operation of the software—this is far from a necessary feature of technology, and it is most likely bound to change. Just like our body parts, so the functionality of future technologies is not going to depend merely on a set of digital rules inscribed, say, on the motherboard of the relevant technological machinery; instead, their functionality will be based on the </w:t>
      </w:r>
      <w:r>
        <w:rPr>
          <w:rFonts w:ascii="Garamond" w:hAnsi="Garamond"/>
          <w:i/>
        </w:rPr>
        <w:t>dynamic interplay</w:t>
      </w:r>
      <w:r>
        <w:rPr>
          <w:rFonts w:ascii="Garamond" w:hAnsi="Garamond"/>
        </w:rPr>
        <w:t xml:space="preserve"> between these digital instructions, the artifact’s continuously responsive and highly malleable analogue features, and the physiological and neurological functions of the whole organism. As a result, in the near future, restoring the functionality of one’s damaged but previously highly personalized equipment will require more than simply replacing it with the default hardware equipment and returning the underlying software to the state it was in before the damage occurred. The new hardware will also have to be restored to the analogue state it was in before the assault, a state idiosyncratic to each user. While an artifact’s digital state might be easy to replicate, it is very likely that this is not going to be the case with respect to its analogue nature, mainly for practical reasons concerning the originating factory’s production line. Indeed, it is highly unlikely that factories could physically tailor their products to match the needs of their customers individually. What is more likely is that they would make their products plastic enough so that each user could extensively calibrate them to match his or her needs. </w:t>
      </w:r>
    </w:p>
    <w:p w14:paraId="796B6832" w14:textId="77777777" w:rsidR="00151ACA" w:rsidRDefault="00151ACA" w:rsidP="00151ACA">
      <w:pPr>
        <w:spacing w:line="480" w:lineRule="auto"/>
        <w:jc w:val="left"/>
        <w:rPr>
          <w:rFonts w:ascii="Garamond" w:hAnsi="Garamond"/>
        </w:rPr>
      </w:pPr>
      <w:r>
        <w:rPr>
          <w:rFonts w:ascii="Garamond" w:hAnsi="Garamond"/>
        </w:rPr>
        <w:tab/>
        <w:t xml:space="preserve">Moreover, while the above considerations pertain exclusively to the status of the external artifacts, we must not forget that the equation also includes the brain and body of the organismic agent. The appropriate integration of any piece of equipment most certainly involves a number of changes to one’s physical body, with the most important being the rewiring of one’s brain so that it can fluently interact with the external equipment. Therefore, the treatment of future cases of disrupted cognitive extension will require that one bring the overall (extended) system back to its previous state of mutual dynamic interaction between </w:t>
      </w:r>
      <w:r>
        <w:rPr>
          <w:rFonts w:ascii="Garamond" w:hAnsi="Garamond"/>
          <w:i/>
        </w:rPr>
        <w:t xml:space="preserve">all </w:t>
      </w:r>
      <w:r>
        <w:rPr>
          <w:rFonts w:ascii="Garamond" w:hAnsi="Garamond"/>
        </w:rPr>
        <w:t xml:space="preserve">components. Most likely, this is going to involve a form of ‘technotherapy’ (with cognitive rehabilitation being only a subcomponent of the overall treatment) that could potentially be as long and distressing as the physiotherapies one has to undertake after an accident or operation.  </w:t>
      </w:r>
    </w:p>
    <w:p w14:paraId="2889367C" w14:textId="77777777" w:rsidR="00151ACA" w:rsidRDefault="00151ACA" w:rsidP="00151ACA">
      <w:pPr>
        <w:spacing w:line="480" w:lineRule="auto"/>
        <w:jc w:val="left"/>
        <w:rPr>
          <w:rFonts w:ascii="Garamond" w:hAnsi="Garamond"/>
        </w:rPr>
      </w:pPr>
      <w:r>
        <w:rPr>
          <w:rFonts w:ascii="Garamond" w:hAnsi="Garamond"/>
        </w:rPr>
        <w:tab/>
        <w:t xml:space="preserve">Granted, as far as current technologies are concerned, reintegrating one’s artifacts is not as time-consuming and stressful as it might eventually be in the future. For the time being, most of our equipments’ personalized functionalities depend merely on the underlying software, which can easily be backed up in the cloud, such that one’s new laptop can within a few hours run in the exact same way as one’s old laptop. As noted above, this is merely a contingent matter of fact that is most likely going to change in the near future, but what are the lessons we can draw from it for the current situation? </w:t>
      </w:r>
    </w:p>
    <w:p w14:paraId="32FBF150" w14:textId="77777777" w:rsidR="00151ACA" w:rsidRDefault="00151ACA" w:rsidP="00151ACA">
      <w:pPr>
        <w:spacing w:line="480" w:lineRule="auto"/>
        <w:jc w:val="left"/>
        <w:rPr>
          <w:rFonts w:ascii="Garamond" w:hAnsi="Garamond"/>
        </w:rPr>
      </w:pPr>
      <w:r>
        <w:rPr>
          <w:rFonts w:ascii="Garamond" w:hAnsi="Garamond"/>
        </w:rPr>
        <w:tab/>
        <w:t xml:space="preserve">We can easily imagine that the opponent of the argument for extended assault is going to take advantage of this contingency by claiming that for the time being damaging one’s hardware equipment cannot possibly count as a case of personal assault simply because this hardware can be replaced and its software can be backed up easily. While this is true, it does not really speak to the heart of the matter we are here concerned with, but simply transfers the problematic from the hardware to the online world. For while our hardware equipment, at least for the time being, is an easily replaceable supervenience base that supports our operating systems, the state of these software operating systems is crucial for the appropriate cognitive integration of our technological equipment. In cases where it is possible to back up one’s software online—and note that this is not </w:t>
      </w:r>
      <w:r>
        <w:rPr>
          <w:rFonts w:ascii="Garamond" w:hAnsi="Garamond"/>
          <w:i/>
        </w:rPr>
        <w:t>always</w:t>
      </w:r>
      <w:r>
        <w:rPr>
          <w:rFonts w:ascii="Garamond" w:hAnsi="Garamond"/>
        </w:rPr>
        <w:t xml:space="preserve"> possible—we might indeed be able to stop worrying about whether extended personal assault could apply to one’s hardware equipment. This is not so, however, with respect to cyber attacks against our online personal accounts—such as those we have with Google or Apple—and against the backup of our operating systems and information on the cloud. </w:t>
      </w:r>
    </w:p>
    <w:p w14:paraId="066561BC" w14:textId="77777777" w:rsidR="00151ACA" w:rsidRDefault="00151ACA" w:rsidP="00151ACA">
      <w:pPr>
        <w:spacing w:line="480" w:lineRule="auto"/>
        <w:jc w:val="left"/>
        <w:rPr>
          <w:rFonts w:ascii="Garamond" w:hAnsi="Garamond"/>
        </w:rPr>
      </w:pPr>
      <w:r>
        <w:rPr>
          <w:rFonts w:ascii="Garamond" w:hAnsi="Garamond"/>
        </w:rPr>
        <w:tab/>
        <w:t>Even if for the time being we may stop worrying about whether damage of one’s hardware should constitute a case of personal assault, it seems that it is not easy to employ as lenient an approach toward cyberattacks against our online accounts and against our cloud backups. And this should be of concern not only to hackers but also to major companies such as Google, Microsoft, and Apple. For if our cloud accounts are part of who we are, then we should also expect such companies to be legally bound and responsible toward their users in ways that have, perhaps, so far been significantly underestimated</w:t>
      </w:r>
      <w:commentRangeStart w:id="23"/>
      <w:r>
        <w:rPr>
          <w:rFonts w:ascii="Garamond" w:hAnsi="Garamond"/>
        </w:rPr>
        <w:t>.</w:t>
      </w:r>
      <w:r>
        <w:rPr>
          <w:rStyle w:val="FootnoteReference"/>
          <w:rFonts w:ascii="Garamond" w:hAnsi="Garamond"/>
        </w:rPr>
        <w:footnoteReference w:id="22"/>
      </w:r>
      <w:commentRangeEnd w:id="23"/>
      <w:r>
        <w:rPr>
          <w:rStyle w:val="CommentReference"/>
        </w:rPr>
        <w:commentReference w:id="23"/>
      </w:r>
    </w:p>
    <w:p w14:paraId="7A630A56" w14:textId="77777777" w:rsidR="00151ACA" w:rsidRDefault="00151ACA" w:rsidP="00151ACA">
      <w:pPr>
        <w:spacing w:line="480" w:lineRule="auto"/>
        <w:jc w:val="left"/>
        <w:rPr>
          <w:rFonts w:ascii="Garamond" w:hAnsi="Garamond"/>
        </w:rPr>
      </w:pPr>
      <w:r>
        <w:rPr>
          <w:rFonts w:ascii="Garamond" w:hAnsi="Garamond"/>
        </w:rPr>
        <w:tab/>
        <w:t>As the recent conflict between Apple and the FBI demonstrates, some technology companies (e.g., Apple, Google, Whatsapp, Twitter) appear to be sensitive to this sort of responsibility, and they seem willing to protect their user’s privacy and safety from cyber attacks even in the face of potentially serious legal costs. The good news is that according to the above considerations, such companies may now have one more argument to offer against the demands of the FBI and the White House : Assuming that the argument for extended assault is correct, then by hacking its own operating system, Apple would not only expose its users to potentially having their personal property damaged, but it would also make them subject to the far greater risk of being personally assaulted by anyone who might get hold of the controversial key.</w:t>
      </w:r>
      <w:r>
        <w:rPr>
          <w:rStyle w:val="FootnoteReference"/>
          <w:rFonts w:ascii="Garamond" w:hAnsi="Garamond"/>
        </w:rPr>
        <w:footnoteReference w:id="23"/>
      </w:r>
      <w:r>
        <w:rPr>
          <w:rFonts w:ascii="Garamond" w:hAnsi="Garamond"/>
        </w:rPr>
        <w:t xml:space="preserve">  </w:t>
      </w:r>
    </w:p>
    <w:p w14:paraId="4490896A" w14:textId="77777777" w:rsidR="00151ACA" w:rsidRDefault="00151ACA" w:rsidP="00151ACA">
      <w:pPr>
        <w:spacing w:line="480" w:lineRule="auto"/>
        <w:jc w:val="left"/>
        <w:rPr>
          <w:rFonts w:ascii="Garamond" w:hAnsi="Garamond"/>
        </w:rPr>
      </w:pPr>
      <w:r>
        <w:rPr>
          <w:rFonts w:ascii="Garamond" w:hAnsi="Garamond"/>
        </w:rPr>
        <w:tab/>
        <w:t xml:space="preserve">To return to an observation we made earlier, whether one’s intuitions are going to align with such a conclusion—and, more generally, with the conclusion of the argument for extended assault—depends on the extent to which technology has already penetrated one’s everyday life. Nevertheless, before we allow ourselves to draw any conclusions based on our personal and thus limited experience, it is perhaps also worth considering that sometimes integrated technology can play a </w:t>
      </w:r>
      <w:r>
        <w:rPr>
          <w:rFonts w:ascii="Garamond" w:hAnsi="Garamond"/>
          <w:i/>
        </w:rPr>
        <w:t>central</w:t>
      </w:r>
      <w:r>
        <w:rPr>
          <w:rFonts w:ascii="Garamond" w:hAnsi="Garamond"/>
        </w:rPr>
        <w:t xml:space="preserve"> role in the well-being of some people who </w:t>
      </w:r>
      <w:r>
        <w:rPr>
          <w:rFonts w:ascii="Garamond" w:hAnsi="Garamond"/>
          <w:i/>
        </w:rPr>
        <w:t>could not possibly</w:t>
      </w:r>
      <w:r>
        <w:rPr>
          <w:rFonts w:ascii="Garamond" w:hAnsi="Garamond"/>
        </w:rPr>
        <w:t xml:space="preserve"> </w:t>
      </w:r>
      <w:r>
        <w:rPr>
          <w:rFonts w:ascii="Garamond" w:hAnsi="Garamond"/>
          <w:i/>
        </w:rPr>
        <w:t>survive</w:t>
      </w:r>
      <w:r>
        <w:rPr>
          <w:rFonts w:ascii="Garamond" w:hAnsi="Garamond"/>
        </w:rPr>
        <w:t xml:space="preserve"> without it. </w:t>
      </w:r>
    </w:p>
    <w:p w14:paraId="77F4913B" w14:textId="77777777" w:rsidR="00151ACA" w:rsidRDefault="00151ACA" w:rsidP="00151ACA">
      <w:pPr>
        <w:spacing w:line="480" w:lineRule="auto"/>
        <w:jc w:val="left"/>
        <w:rPr>
          <w:rFonts w:ascii="Garamond" w:hAnsi="Garamond"/>
        </w:rPr>
      </w:pPr>
      <w:r>
        <w:rPr>
          <w:rFonts w:ascii="Garamond" w:hAnsi="Garamond"/>
        </w:rPr>
        <w:tab/>
        <w:t xml:space="preserve">While everyone may agree that having our smartphones or laptops severely compromised might feel like a great (personal) loss, to most of us it is still a kind of loss that, given enough time, effort, and resources, we can hope to get past without worrying that our well-being is going to be severely threatened in the process. Nevertheless, as films such as </w:t>
      </w:r>
      <w:r>
        <w:rPr>
          <w:rFonts w:ascii="Garamond" w:hAnsi="Garamond"/>
          <w:i/>
        </w:rPr>
        <w:t xml:space="preserve">Still Alice </w:t>
      </w:r>
      <w:r>
        <w:rPr>
          <w:rFonts w:ascii="Garamond" w:hAnsi="Garamond"/>
        </w:rPr>
        <w:t>have recently brought to popular attention, there is a part of the population for which technology plays a central and largely irreplaceable role. There are numerous stories of people who after having suffered irreversible brain damage or being afflicted with dementia,</w:t>
      </w:r>
      <w:r>
        <w:rPr>
          <w:rStyle w:val="FootnoteReference"/>
          <w:rFonts w:ascii="Garamond" w:hAnsi="Garamond"/>
        </w:rPr>
        <w:footnoteReference w:id="24"/>
      </w:r>
      <w:r>
        <w:rPr>
          <w:rFonts w:ascii="Garamond" w:hAnsi="Garamond"/>
        </w:rPr>
        <w:t xml:space="preserve"> use their smartphones and social media accounts as substitutes for their long-term and short-term memories—a fact that is clearly mirrored by the emergence of an increasing number of applications designed to help such patients.</w:t>
      </w:r>
      <w:r>
        <w:rPr>
          <w:rStyle w:val="FootnoteReference"/>
          <w:rFonts w:ascii="Garamond" w:hAnsi="Garamond"/>
        </w:rPr>
        <w:footnoteReference w:id="25"/>
      </w:r>
      <w:r>
        <w:rPr>
          <w:rFonts w:ascii="Garamond" w:hAnsi="Garamond"/>
        </w:rPr>
        <w:t xml:space="preserve"> For these patients, their integrated technology really is a central aspect of who they are and what they can do, supporting their personal autonomy to an extent that few of us can fully appreciate.</w:t>
      </w:r>
    </w:p>
    <w:p w14:paraId="7C746995" w14:textId="77777777" w:rsidR="00151ACA" w:rsidRDefault="00151ACA" w:rsidP="00151ACA">
      <w:pPr>
        <w:spacing w:line="480" w:lineRule="auto"/>
        <w:jc w:val="left"/>
        <w:rPr>
          <w:rFonts w:ascii="Garamond" w:hAnsi="Garamond"/>
        </w:rPr>
      </w:pPr>
    </w:p>
    <w:p w14:paraId="190381BA" w14:textId="77777777" w:rsidR="00151ACA" w:rsidRDefault="00151ACA" w:rsidP="00151ACA">
      <w:pPr>
        <w:spacing w:line="480" w:lineRule="auto"/>
        <w:jc w:val="left"/>
        <w:rPr>
          <w:rFonts w:ascii="Garamond" w:hAnsi="Garamond"/>
          <w:b/>
        </w:rPr>
      </w:pPr>
      <w:r>
        <w:rPr>
          <w:rFonts w:ascii="Garamond" w:hAnsi="Garamond"/>
          <w:b/>
        </w:rPr>
        <w:t>5. Concluding Remarks</w:t>
      </w:r>
    </w:p>
    <w:p w14:paraId="36947524" w14:textId="77777777" w:rsidR="00151ACA" w:rsidRDefault="00151ACA" w:rsidP="00151ACA">
      <w:pPr>
        <w:spacing w:line="480" w:lineRule="auto"/>
        <w:jc w:val="left"/>
        <w:rPr>
          <w:rFonts w:ascii="Garamond" w:hAnsi="Garamond"/>
        </w:rPr>
      </w:pPr>
      <w:r>
        <w:rPr>
          <w:rFonts w:ascii="Garamond" w:hAnsi="Garamond"/>
        </w:rPr>
        <w:t xml:space="preserve">Contrary to what the above dialectics may suggest, we would like to close by pointing to a moderate direction. Our aim has not been to suggest that accepting the argument for extended assault </w:t>
      </w:r>
      <w:r>
        <w:rPr>
          <w:rFonts w:ascii="Garamond" w:hAnsi="Garamond"/>
          <w:i/>
        </w:rPr>
        <w:t>should</w:t>
      </w:r>
      <w:r>
        <w:rPr>
          <w:rFonts w:ascii="Garamond" w:hAnsi="Garamond"/>
        </w:rPr>
        <w:t xml:space="preserve"> </w:t>
      </w:r>
      <w:commentRangeStart w:id="24"/>
      <w:r>
        <w:rPr>
          <w:rFonts w:ascii="Garamond" w:hAnsi="Garamond"/>
        </w:rPr>
        <w:t>be</w:t>
      </w:r>
      <w:commentRangeEnd w:id="24"/>
      <w:r>
        <w:rPr>
          <w:rStyle w:val="CommentReference"/>
        </w:rPr>
        <w:commentReference w:id="24"/>
      </w:r>
      <w:r>
        <w:rPr>
          <w:rFonts w:ascii="Garamond" w:hAnsi="Garamond"/>
        </w:rPr>
        <w:t xml:space="preserve"> the way forward. Rather, this paper is an attempt to demonstrate that given (1) current legal as well as normative ethical theorizing, (2) recent advances in cognitive science. and (3) the rapidly growing and proliferating use of technologies, the idea of extended personal assault is at least worthy of serious consideration. This is admittedly an early idea, and more needs to be said in its defense. Nevertheless, we hope to have demonstrated here that making a case for it </w:t>
      </w:r>
      <w:r>
        <w:rPr>
          <w:rFonts w:ascii="Garamond" w:hAnsi="Garamond"/>
          <w:i/>
        </w:rPr>
        <w:t xml:space="preserve">is </w:t>
      </w:r>
      <w:r>
        <w:rPr>
          <w:rFonts w:ascii="Garamond" w:hAnsi="Garamond" w:cs="Abadi MT Condensed Extra Bold"/>
        </w:rPr>
        <w:t>possible</w:t>
      </w:r>
      <w:r>
        <w:rPr>
          <w:rFonts w:ascii="Garamond" w:hAnsi="Garamond"/>
        </w:rPr>
        <w:t xml:space="preserve">. This is a possibility, which even if it turned out to be wrong, would still require a thorough understanding of its motivation and rationale. </w:t>
      </w:r>
      <w:r>
        <w:rPr>
          <w:rStyle w:val="CommentReference"/>
        </w:rPr>
        <w:commentReference w:id="25"/>
      </w:r>
      <w:r>
        <w:rPr>
          <w:rFonts w:ascii="Garamond" w:hAnsi="Garamond"/>
        </w:rPr>
        <w:t xml:space="preserve"> </w:t>
      </w:r>
      <w:commentRangeStart w:id="26"/>
      <w:commentRangeStart w:id="27"/>
      <w:r>
        <w:rPr>
          <w:rStyle w:val="FootnoteReference"/>
          <w:rFonts w:ascii="Garamond" w:hAnsi="Garamond"/>
        </w:rPr>
        <w:footnoteReference w:id="26"/>
      </w:r>
      <w:commentRangeEnd w:id="26"/>
      <w:r>
        <w:rPr>
          <w:rStyle w:val="CommentReference"/>
        </w:rPr>
        <w:commentReference w:id="26"/>
      </w:r>
      <w:commentRangeEnd w:id="27"/>
      <w:r>
        <w:rPr>
          <w:rStyle w:val="CommentReference"/>
        </w:rPr>
        <w:commentReference w:id="27"/>
      </w:r>
      <w:r>
        <w:rPr>
          <w:rFonts w:ascii="Garamond" w:hAnsi="Garamond"/>
        </w:rPr>
        <w:t xml:space="preserve">     </w:t>
      </w:r>
    </w:p>
    <w:p w14:paraId="785EC53C" w14:textId="77777777" w:rsidR="00151ACA" w:rsidRDefault="00151ACA" w:rsidP="00151ACA">
      <w:pPr>
        <w:jc w:val="left"/>
      </w:pPr>
    </w:p>
    <w:p w14:paraId="66C182DC" w14:textId="77777777" w:rsidR="00151ACA" w:rsidRDefault="00151ACA" w:rsidP="00151ACA">
      <w:pPr>
        <w:jc w:val="right"/>
      </w:pPr>
      <w:r>
        <w:t xml:space="preserve">J. ADAM CARTER </w:t>
      </w:r>
    </w:p>
    <w:p w14:paraId="28C619B3" w14:textId="77777777" w:rsidR="00151ACA" w:rsidRDefault="00151ACA" w:rsidP="00151ACA">
      <w:pPr>
        <w:pStyle w:val="Heading1"/>
        <w:spacing w:line="360" w:lineRule="auto"/>
        <w:jc w:val="left"/>
        <w:rPr>
          <w:rFonts w:ascii="Garamond" w:hAnsi="Garamond"/>
        </w:rPr>
      </w:pPr>
      <w:r>
        <w:rPr>
          <w:rFonts w:ascii="Garamond" w:hAnsi="Garamond"/>
        </w:rPr>
        <w:t>References</w:t>
      </w:r>
    </w:p>
    <w:p w14:paraId="52D4B175"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Adams, F., </w:t>
      </w:r>
      <w:r>
        <w:rPr>
          <w:rFonts w:ascii="Garamond" w:eastAsia="Times New Roman" w:hAnsi="Garamond" w:cs="Times New Roman"/>
          <w:iCs/>
        </w:rPr>
        <w:t xml:space="preserve">and </w:t>
      </w:r>
      <w:r>
        <w:rPr>
          <w:rFonts w:ascii="Garamond" w:eastAsia="Times New Roman" w:hAnsi="Garamond" w:cs="Times New Roman"/>
        </w:rPr>
        <w:t xml:space="preserve">K. Aizawa. (2001) ‘The Bounds of Cognition’. </w:t>
      </w:r>
      <w:r>
        <w:rPr>
          <w:rFonts w:ascii="Garamond" w:eastAsia="Times New Roman" w:hAnsi="Garamond" w:cs="Times New Roman"/>
          <w:i/>
          <w:iCs/>
        </w:rPr>
        <w:t>Philosophical Psychology,</w:t>
      </w:r>
      <w:r>
        <w:rPr>
          <w:rFonts w:ascii="Garamond" w:eastAsia="Times New Roman" w:hAnsi="Garamond" w:cs="Times New Roman"/>
        </w:rPr>
        <w:t xml:space="preserve"> 14, 43–64.</w:t>
      </w:r>
    </w:p>
    <w:p w14:paraId="44A8AFA5"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Adams, F., </w:t>
      </w:r>
      <w:r>
        <w:rPr>
          <w:rFonts w:ascii="Garamond" w:eastAsia="Times New Roman" w:hAnsi="Garamond" w:cs="Times New Roman"/>
          <w:iCs/>
        </w:rPr>
        <w:t xml:space="preserve">and </w:t>
      </w:r>
      <w:r>
        <w:rPr>
          <w:rFonts w:ascii="Garamond" w:eastAsia="Times New Roman" w:hAnsi="Garamond" w:cs="Times New Roman"/>
        </w:rPr>
        <w:t xml:space="preserve">K. Aizawa. (2008). </w:t>
      </w:r>
      <w:r>
        <w:rPr>
          <w:rFonts w:ascii="Garamond" w:eastAsia="Times New Roman" w:hAnsi="Garamond" w:cs="Times New Roman"/>
          <w:i/>
          <w:iCs/>
        </w:rPr>
        <w:t>The Bounds of Cognition</w:t>
      </w:r>
      <w:r>
        <w:rPr>
          <w:rFonts w:ascii="Garamond" w:eastAsia="Times New Roman" w:hAnsi="Garamond" w:cs="Times New Roman"/>
        </w:rPr>
        <w:t>. New York: John Wiley &amp; Sons.</w:t>
      </w:r>
    </w:p>
    <w:p w14:paraId="16671420"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rPr>
        <w:t xml:space="preserve">Adams, F., </w:t>
      </w:r>
      <w:r>
        <w:rPr>
          <w:rFonts w:ascii="Garamond" w:eastAsia="Times New Roman" w:hAnsi="Garamond" w:cs="Times New Roman"/>
          <w:iCs/>
        </w:rPr>
        <w:t xml:space="preserve">and </w:t>
      </w:r>
      <w:r>
        <w:rPr>
          <w:rFonts w:ascii="Garamond" w:eastAsia="Times New Roman" w:hAnsi="Garamond" w:cs="Times New Roman"/>
        </w:rPr>
        <w:t xml:space="preserve">K. Aizawa. (2010). ‘The Value of Cognitivism in Thinking about Extended Cognition’. Christman, </w:t>
      </w:r>
      <w:commentRangeStart w:id="28"/>
      <w:r>
        <w:rPr>
          <w:rFonts w:ascii="Garamond" w:eastAsia="Times New Roman" w:hAnsi="Garamond" w:cs="Times New Roman"/>
        </w:rPr>
        <w:t>J</w:t>
      </w:r>
      <w:commentRangeEnd w:id="28"/>
      <w:r>
        <w:rPr>
          <w:rStyle w:val="CommentReference"/>
        </w:rPr>
        <w:commentReference w:id="28"/>
      </w:r>
      <w:r>
        <w:rPr>
          <w:rFonts w:ascii="Garamond" w:eastAsia="Times New Roman" w:hAnsi="Garamond" w:cs="Times New Roman"/>
        </w:rPr>
        <w:t xml:space="preserve">. (2015). ‘Autonomy in Moral and Political Philosophy’. In Edward N. Zalta (ed.), </w:t>
      </w:r>
      <w:r>
        <w:rPr>
          <w:rFonts w:ascii="Garamond" w:eastAsia="Times New Roman" w:hAnsi="Garamond" w:cs="Times New Roman"/>
          <w:i/>
        </w:rPr>
        <w:t>The Stanford Encyclopedia of Philosophy</w:t>
      </w:r>
      <w:r>
        <w:rPr>
          <w:rFonts w:ascii="Garamond" w:eastAsia="Times New Roman" w:hAnsi="Garamond" w:cs="Times New Roman"/>
        </w:rPr>
        <w:t>.</w:t>
      </w:r>
    </w:p>
    <w:p w14:paraId="0B7BD889"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Baker</w:t>
      </w:r>
      <w:r>
        <w:rPr>
          <w:rFonts w:ascii="Garamond" w:eastAsia="Times New Roman" w:hAnsi="Garamond" w:cs="Times New Roman"/>
          <w:i/>
          <w:iCs/>
          <w:lang w:val="en-GB"/>
        </w:rPr>
        <w:t xml:space="preserve">, </w:t>
      </w:r>
      <w:r>
        <w:rPr>
          <w:rFonts w:ascii="Garamond" w:eastAsia="Times New Roman" w:hAnsi="Garamond" w:cs="Times New Roman"/>
          <w:lang w:val="en-GB"/>
        </w:rPr>
        <w:t xml:space="preserve">L. R. (2000) </w:t>
      </w:r>
      <w:r>
        <w:rPr>
          <w:rFonts w:ascii="Garamond" w:eastAsia="Times New Roman" w:hAnsi="Garamond" w:cs="Times New Roman"/>
          <w:i/>
          <w:iCs/>
          <w:lang w:val="en-GB"/>
        </w:rPr>
        <w:t xml:space="preserve">Persons and Bodies. </w:t>
      </w:r>
      <w:r>
        <w:rPr>
          <w:rFonts w:ascii="Garamond" w:eastAsia="Times New Roman" w:hAnsi="Garamond" w:cs="Times New Roman"/>
          <w:lang w:val="en-GB"/>
        </w:rPr>
        <w:t xml:space="preserve">Cambridge: Cambridge University Press. </w:t>
      </w:r>
    </w:p>
    <w:p w14:paraId="292EA922"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 xml:space="preserve">Block, N. (1980) ‘Troubles with Functionalism’. In Ned Block (ed.), </w:t>
      </w:r>
      <w:r>
        <w:rPr>
          <w:rFonts w:ascii="Garamond" w:eastAsia="Times New Roman" w:hAnsi="Garamond" w:cs="Times New Roman"/>
          <w:i/>
          <w:iCs/>
          <w:lang w:val="en-GB"/>
        </w:rPr>
        <w:t xml:space="preserve">Readings in the Philosophy of Psychology, </w:t>
      </w:r>
      <w:r>
        <w:rPr>
          <w:rFonts w:ascii="Garamond" w:eastAsia="Times New Roman" w:hAnsi="Garamond" w:cs="Times New Roman"/>
          <w:lang w:val="en-GB"/>
        </w:rPr>
        <w:t>v</w:t>
      </w:r>
      <w:r w:rsidRPr="00B452B9">
        <w:rPr>
          <w:rFonts w:ascii="Garamond" w:eastAsia="Times New Roman" w:hAnsi="Garamond" w:cs="Times New Roman"/>
          <w:lang w:val="en-GB"/>
        </w:rPr>
        <w:t>ol</w:t>
      </w:r>
      <w:r>
        <w:rPr>
          <w:rFonts w:ascii="Garamond" w:eastAsia="Times New Roman" w:hAnsi="Garamond" w:cs="Times New Roman"/>
          <w:lang w:val="en-GB"/>
        </w:rPr>
        <w:t xml:space="preserve">. </w:t>
      </w:r>
      <w:r w:rsidRPr="00B452B9">
        <w:rPr>
          <w:rFonts w:ascii="Garamond" w:eastAsia="Times New Roman" w:hAnsi="Garamond" w:cs="Times New Roman"/>
          <w:lang w:val="en-GB"/>
        </w:rPr>
        <w:t>1 and 2</w:t>
      </w:r>
      <w:r>
        <w:rPr>
          <w:rFonts w:ascii="Garamond" w:eastAsia="Times New Roman" w:hAnsi="Garamond" w:cs="Times New Roman"/>
          <w:lang w:val="en-GB"/>
        </w:rPr>
        <w:t xml:space="preserve"> *Cambridge, MA: Harvard University </w:t>
      </w:r>
      <w:commentRangeStart w:id="29"/>
      <w:r>
        <w:rPr>
          <w:rFonts w:ascii="Garamond" w:eastAsia="Times New Roman" w:hAnsi="Garamond" w:cs="Times New Roman"/>
          <w:lang w:val="en-GB"/>
        </w:rPr>
        <w:t>Press</w:t>
      </w:r>
      <w:commentRangeEnd w:id="29"/>
      <w:r>
        <w:rPr>
          <w:rStyle w:val="CommentReference"/>
        </w:rPr>
        <w:commentReference w:id="29"/>
      </w:r>
      <w:r>
        <w:rPr>
          <w:rFonts w:ascii="Garamond" w:eastAsia="Times New Roman" w:hAnsi="Garamond" w:cs="Times New Roman"/>
          <w:lang w:val="en-GB"/>
        </w:rPr>
        <w:t>).</w:t>
      </w:r>
    </w:p>
    <w:p w14:paraId="7E1B3B04"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Bostrom, N., and Sandberg, A. (2009)</w:t>
      </w:r>
      <w:r w:rsidRPr="00151D3C">
        <w:rPr>
          <w:rFonts w:ascii="Garamond" w:eastAsia="Times New Roman" w:hAnsi="Garamond" w:cs="Times New Roman"/>
          <w:lang w:val="en-GB"/>
        </w:rPr>
        <w:t xml:space="preserve"> </w:t>
      </w:r>
      <w:r>
        <w:rPr>
          <w:rFonts w:ascii="Garamond" w:eastAsia="Times New Roman" w:hAnsi="Garamond" w:cs="Times New Roman"/>
          <w:lang w:val="en-GB"/>
        </w:rPr>
        <w:t>‘Cognitive Enhancement: Methods, Ethics, Regulatory Challenges’.</w:t>
      </w:r>
      <w:r w:rsidRPr="00151D3C">
        <w:rPr>
          <w:rFonts w:ascii="Garamond" w:eastAsia="Times New Roman" w:hAnsi="Garamond" w:cs="Times New Roman"/>
          <w:lang w:val="en-GB"/>
        </w:rPr>
        <w:t xml:space="preserve"> </w:t>
      </w:r>
      <w:r>
        <w:rPr>
          <w:rFonts w:ascii="Garamond" w:eastAsia="Times New Roman" w:hAnsi="Garamond" w:cs="Times New Roman"/>
          <w:i/>
          <w:iCs/>
          <w:lang w:val="en-GB"/>
        </w:rPr>
        <w:t>Science and Engineering E</w:t>
      </w:r>
      <w:r w:rsidRPr="00151D3C">
        <w:rPr>
          <w:rFonts w:ascii="Garamond" w:eastAsia="Times New Roman" w:hAnsi="Garamond" w:cs="Times New Roman"/>
          <w:i/>
          <w:iCs/>
          <w:lang w:val="en-GB"/>
        </w:rPr>
        <w:t>thics</w:t>
      </w:r>
      <w:r w:rsidRPr="00151D3C">
        <w:rPr>
          <w:rFonts w:ascii="Garamond" w:eastAsia="Times New Roman" w:hAnsi="Garamond" w:cs="Times New Roman"/>
          <w:lang w:val="en-GB"/>
        </w:rPr>
        <w:t xml:space="preserve">, </w:t>
      </w:r>
      <w:r w:rsidRPr="00B452B9">
        <w:rPr>
          <w:rFonts w:ascii="Garamond" w:eastAsia="Times New Roman" w:hAnsi="Garamond" w:cs="Times New Roman"/>
          <w:iCs/>
          <w:lang w:val="en-GB"/>
        </w:rPr>
        <w:t>15</w:t>
      </w:r>
      <w:r w:rsidRPr="00151D3C">
        <w:rPr>
          <w:rFonts w:ascii="Garamond" w:eastAsia="Times New Roman" w:hAnsi="Garamond" w:cs="Times New Roman"/>
          <w:lang w:val="en-GB"/>
        </w:rPr>
        <w:t>(3), 311-341.</w:t>
      </w:r>
    </w:p>
    <w:p w14:paraId="75B3F519"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Bostrom, N., </w:t>
      </w:r>
      <w:r>
        <w:rPr>
          <w:rFonts w:ascii="Garamond" w:eastAsia="Times New Roman" w:hAnsi="Garamond" w:cs="Times New Roman"/>
          <w:iCs/>
        </w:rPr>
        <w:t>and</w:t>
      </w:r>
      <w:r>
        <w:rPr>
          <w:rFonts w:ascii="Garamond" w:eastAsia="Times New Roman" w:hAnsi="Garamond" w:cs="Times New Roman"/>
        </w:rPr>
        <w:t xml:space="preserve"> J. Savulescu. (2009) ‘Human Enhancement Ethics: The State of the Debate’. In N</w:t>
      </w:r>
      <w:r>
        <w:rPr>
          <w:rFonts w:ascii="Garamond" w:eastAsia="Times New Roman" w:hAnsi="Garamond" w:cs="Times New Roman"/>
        </w:rPr>
        <w:t xml:space="preserve">. Bostrom </w:t>
      </w:r>
      <w:r>
        <w:rPr>
          <w:rFonts w:ascii="Garamond" w:eastAsia="Times New Roman" w:hAnsi="Garamond" w:cs="Times New Roman"/>
          <w:iCs/>
        </w:rPr>
        <w:t xml:space="preserve">and </w:t>
      </w:r>
      <w:r>
        <w:rPr>
          <w:rFonts w:ascii="Garamond" w:eastAsia="Times New Roman" w:hAnsi="Garamond" w:cs="Times New Roman"/>
        </w:rPr>
        <w:t>J. Savulescu</w:t>
      </w:r>
      <w:r>
        <w:rPr>
          <w:rFonts w:ascii="Garamond" w:eastAsia="Times New Roman" w:hAnsi="Garamond" w:cs="Times New Roman"/>
        </w:rPr>
        <w:t xml:space="preserve"> (eds.), </w:t>
      </w:r>
      <w:r w:rsidRPr="00B452B9">
        <w:rPr>
          <w:rFonts w:ascii="Garamond" w:eastAsia="Times New Roman" w:hAnsi="Garamond" w:cs="Times New Roman"/>
          <w:i/>
          <w:iCs/>
        </w:rPr>
        <w:t>Human Enhancement</w:t>
      </w:r>
      <w:r>
        <w:rPr>
          <w:rFonts w:ascii="Garamond" w:eastAsia="Times New Roman" w:hAnsi="Garamond" w:cs="Times New Roman"/>
        </w:rPr>
        <w:t xml:space="preserve"> (Oxford: Oxford University Press), 1–22.</w:t>
      </w:r>
    </w:p>
    <w:p w14:paraId="13CEA89C"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Brooks, R. (1991a) ‘Intelligence without Representation’. </w:t>
      </w:r>
      <w:r w:rsidRPr="00B452B9">
        <w:rPr>
          <w:rFonts w:ascii="Garamond" w:eastAsia="Times New Roman" w:hAnsi="Garamond" w:cs="Times New Roman"/>
          <w:i/>
          <w:iCs/>
        </w:rPr>
        <w:t>Artificial Intelligence</w:t>
      </w:r>
      <w:r>
        <w:rPr>
          <w:rFonts w:ascii="Garamond" w:eastAsia="Times New Roman" w:hAnsi="Garamond" w:cs="Times New Roman"/>
          <w:i/>
          <w:iCs/>
        </w:rPr>
        <w:t>,</w:t>
      </w:r>
      <w:r>
        <w:rPr>
          <w:rFonts w:ascii="Garamond" w:eastAsia="Times New Roman" w:hAnsi="Garamond" w:cs="Times New Roman"/>
        </w:rPr>
        <w:t xml:space="preserve"> 47, 139–59.</w:t>
      </w:r>
    </w:p>
    <w:p w14:paraId="7A272B21"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Brooks, R. (1991b) ‘Intelligence without Reason’. </w:t>
      </w:r>
      <w:r w:rsidRPr="00B452B9">
        <w:rPr>
          <w:rFonts w:ascii="Garamond" w:eastAsia="Times New Roman" w:hAnsi="Garamond" w:cs="Times New Roman"/>
          <w:i/>
          <w:iCs/>
        </w:rPr>
        <w:t>Proceedings of 12th International Joint Conference on Artificial Intelligence</w:t>
      </w:r>
      <w:r>
        <w:rPr>
          <w:rFonts w:ascii="Garamond" w:eastAsia="Times New Roman" w:hAnsi="Garamond" w:cs="Times New Roman"/>
        </w:rPr>
        <w:t>, 569–95.</w:t>
      </w:r>
    </w:p>
    <w:p w14:paraId="4BAE959C" w14:textId="77777777" w:rsidR="00151ACA" w:rsidRPr="00B452B9"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 xml:space="preserve">Buller, D. Human Nature. </w:t>
      </w:r>
      <w:r w:rsidRPr="007A2E57">
        <w:rPr>
          <w:rFonts w:ascii="Garamond" w:eastAsia="Times New Roman" w:hAnsi="Garamond" w:cs="Times New Roman"/>
          <w:lang w:val="en-GB"/>
        </w:rPr>
        <w:t>In </w:t>
      </w:r>
      <w:r w:rsidRPr="007A2E57">
        <w:rPr>
          <w:rFonts w:ascii="Garamond" w:eastAsia="Times New Roman" w:hAnsi="Garamond" w:cs="Times New Roman"/>
          <w:i/>
          <w:iCs/>
          <w:lang w:val="en-GB"/>
        </w:rPr>
        <w:t>Arguing About Human Nature: Contemporary Debates</w:t>
      </w:r>
      <w:r w:rsidRPr="007A2E57">
        <w:rPr>
          <w:rFonts w:ascii="Garamond" w:eastAsia="Times New Roman" w:hAnsi="Garamond" w:cs="Times New Roman"/>
          <w:lang w:val="en-GB"/>
        </w:rPr>
        <w:t> (pp. 35-63). Eds. Stephen M. Downes and Edouard Machery. New York: Routledge, 2013. (Selected excerpts from </w:t>
      </w:r>
      <w:r w:rsidRPr="007A2E57">
        <w:rPr>
          <w:rFonts w:ascii="Garamond" w:eastAsia="Times New Roman" w:hAnsi="Garamond" w:cs="Times New Roman"/>
          <w:i/>
          <w:iCs/>
          <w:lang w:val="en-GB"/>
        </w:rPr>
        <w:t>Adapting Minds</w:t>
      </w:r>
      <w:r w:rsidRPr="007A2E57">
        <w:rPr>
          <w:rFonts w:ascii="Garamond" w:eastAsia="Times New Roman" w:hAnsi="Garamond" w:cs="Times New Roman"/>
          <w:lang w:val="en-GB"/>
        </w:rPr>
        <w:t>, pp. 419-480.)</w:t>
      </w:r>
    </w:p>
    <w:p w14:paraId="03AE6EFF"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Chemero, A. (2009) </w:t>
      </w:r>
      <w:r>
        <w:rPr>
          <w:rFonts w:ascii="Garamond" w:eastAsia="Times New Roman" w:hAnsi="Garamond" w:cs="Times New Roman"/>
          <w:i/>
        </w:rPr>
        <w:t>Radical Embodied Cognitive Science.</w:t>
      </w:r>
      <w:r>
        <w:rPr>
          <w:rFonts w:ascii="Garamond" w:eastAsia="Times New Roman" w:hAnsi="Garamond" w:cs="Times New Roman"/>
        </w:rPr>
        <w:t xml:space="preserve"> Cambridge, MA: MIT Press.</w:t>
      </w:r>
    </w:p>
    <w:p w14:paraId="55E4E0A3"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lang w:val="en-GB"/>
        </w:rPr>
        <w:t>Christman, John. (2015) ‘</w:t>
      </w:r>
      <w:r w:rsidRPr="00671769">
        <w:rPr>
          <w:rFonts w:ascii="Garamond" w:eastAsia="Times New Roman" w:hAnsi="Garamond" w:cs="Times New Roman"/>
          <w:lang w:val="en-GB"/>
        </w:rPr>
        <w:t>Autonomy in</w:t>
      </w:r>
      <w:r>
        <w:rPr>
          <w:rFonts w:ascii="Garamond" w:eastAsia="Times New Roman" w:hAnsi="Garamond" w:cs="Times New Roman"/>
          <w:lang w:val="en-GB"/>
        </w:rPr>
        <w:t xml:space="preserve"> Moral and Political Philosophy’</w:t>
      </w:r>
      <w:r w:rsidRPr="00671769">
        <w:rPr>
          <w:rFonts w:ascii="Garamond" w:eastAsia="Times New Roman" w:hAnsi="Garamond" w:cs="Times New Roman"/>
          <w:lang w:val="en-GB"/>
        </w:rPr>
        <w:t xml:space="preserve">, </w:t>
      </w:r>
      <w:r w:rsidRPr="00B452B9">
        <w:rPr>
          <w:rFonts w:ascii="Garamond" w:eastAsia="Times New Roman" w:hAnsi="Garamond" w:cs="Times New Roman"/>
          <w:i/>
          <w:lang w:val="en-GB"/>
        </w:rPr>
        <w:t xml:space="preserve">The Stanford Encyclopedia of Philosophy </w:t>
      </w:r>
      <w:r w:rsidRPr="00671769">
        <w:rPr>
          <w:rFonts w:ascii="Garamond" w:eastAsia="Times New Roman" w:hAnsi="Garamond" w:cs="Times New Roman"/>
          <w:lang w:val="en-GB"/>
        </w:rPr>
        <w:t>(Spring 2015 Edition), Edward N. Zalta (ed.), URL = &lt;http://plato.stanford.edu/archives/spr2015/entries/autonomy-moral/&gt;.</w:t>
      </w:r>
    </w:p>
    <w:p w14:paraId="488AA94D"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Clark, A., and D. Chalmers. (1998) ‘The Extended Mind’. </w:t>
      </w:r>
      <w:r>
        <w:rPr>
          <w:rFonts w:ascii="Garamond" w:eastAsia="Times New Roman" w:hAnsi="Garamond" w:cs="Times New Roman"/>
          <w:i/>
        </w:rPr>
        <w:t>Analysis</w:t>
      </w:r>
      <w:r>
        <w:rPr>
          <w:rFonts w:ascii="Garamond" w:eastAsia="Times New Roman" w:hAnsi="Garamond" w:cs="Times New Roman"/>
        </w:rPr>
        <w:t>, 58, 7–19.</w:t>
      </w:r>
    </w:p>
    <w:p w14:paraId="0A8DD1E2"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Clark, A. (1997) </w:t>
      </w:r>
      <w:r w:rsidRPr="00B452B9">
        <w:rPr>
          <w:rFonts w:ascii="Garamond" w:eastAsia="Times New Roman" w:hAnsi="Garamond" w:cs="Times New Roman"/>
          <w:i/>
          <w:iCs/>
        </w:rPr>
        <w:t>Being There: Putting Mind, Body, and World Together Again</w:t>
      </w:r>
      <w:r>
        <w:rPr>
          <w:rFonts w:ascii="Garamond" w:eastAsia="Times New Roman" w:hAnsi="Garamond" w:cs="Times New Roman"/>
        </w:rPr>
        <w:t>. Cambridge, MA: MIT Press.</w:t>
      </w:r>
    </w:p>
    <w:p w14:paraId="7DB97595"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Clark, A. (2008) </w:t>
      </w:r>
      <w:r>
        <w:rPr>
          <w:rFonts w:ascii="Garamond" w:eastAsia="Times New Roman" w:hAnsi="Garamond" w:cs="Times New Roman"/>
          <w:i/>
          <w:iCs/>
        </w:rPr>
        <w:t>Supersizing the Mind: Embodiment, Action, and Cognitive Extension</w:t>
      </w:r>
      <w:r>
        <w:rPr>
          <w:rFonts w:ascii="Garamond" w:eastAsia="Times New Roman" w:hAnsi="Garamond" w:cs="Times New Roman"/>
        </w:rPr>
        <w:t>. Oxford: Oxford University Press.</w:t>
      </w:r>
    </w:p>
    <w:p w14:paraId="4EE0D4F5" w14:textId="77777777" w:rsidR="00151ACA" w:rsidRDefault="00151ACA" w:rsidP="00151ACA">
      <w:pPr>
        <w:spacing w:line="360" w:lineRule="auto"/>
        <w:ind w:left="720" w:hanging="720"/>
        <w:jc w:val="left"/>
        <w:rPr>
          <w:rFonts w:ascii="Garamond" w:hAnsi="Garamond"/>
          <w:lang w:val="en-GB" w:eastAsia="ja-JP"/>
        </w:rPr>
      </w:pPr>
      <w:r>
        <w:rPr>
          <w:rFonts w:ascii="Garamond" w:hAnsi="Garamond"/>
          <w:lang w:val="en-GB" w:eastAsia="ja-JP"/>
        </w:rPr>
        <w:t>Clark, A. (2009) ‘Spreading the Joy? Why the Machinery of Consciousness is (Probably) Still in the Head’. </w:t>
      </w:r>
      <w:r>
        <w:rPr>
          <w:rFonts w:ascii="Garamond" w:hAnsi="Garamond"/>
          <w:i/>
          <w:iCs/>
          <w:lang w:val="en-GB" w:eastAsia="ja-JP"/>
        </w:rPr>
        <w:t>Mind</w:t>
      </w:r>
      <w:r>
        <w:rPr>
          <w:rFonts w:ascii="Garamond" w:hAnsi="Garamond"/>
          <w:lang w:val="en-GB" w:eastAsia="ja-JP"/>
        </w:rPr>
        <w:t>, </w:t>
      </w:r>
      <w:r>
        <w:rPr>
          <w:rFonts w:ascii="Garamond" w:hAnsi="Garamond"/>
          <w:i/>
          <w:iCs/>
          <w:lang w:val="en-GB" w:eastAsia="ja-JP"/>
        </w:rPr>
        <w:t>118</w:t>
      </w:r>
      <w:r>
        <w:rPr>
          <w:rFonts w:ascii="Garamond" w:hAnsi="Garamond"/>
          <w:lang w:val="en-GB" w:eastAsia="ja-JP"/>
        </w:rPr>
        <w:t>, 963–93.</w:t>
      </w:r>
    </w:p>
    <w:p w14:paraId="22569059"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hAnsi="Garamond"/>
          <w:lang w:val="en-GB" w:eastAsia="ja-JP"/>
        </w:rPr>
        <w:t xml:space="preserve">Clark, A. </w:t>
      </w:r>
      <w:r>
        <w:rPr>
          <w:rFonts w:ascii="Garamond" w:eastAsia="Times New Roman" w:hAnsi="Garamond" w:cs="Times New Roman"/>
        </w:rPr>
        <w:t xml:space="preserve">(2010) </w:t>
      </w:r>
      <w:r>
        <w:rPr>
          <w:rFonts w:ascii="Garamond" w:eastAsia="Times New Roman" w:hAnsi="Garamond" w:cs="Times New Roman"/>
          <w:lang w:val="en-GB"/>
        </w:rPr>
        <w:t xml:space="preserve">‘Memento’s Revenge: The Extended Mind Extended’. In Richard Menary (ed.), </w:t>
      </w:r>
      <w:r>
        <w:rPr>
          <w:rFonts w:ascii="Garamond" w:eastAsia="Times New Roman" w:hAnsi="Garamond" w:cs="Times New Roman"/>
          <w:i/>
          <w:iCs/>
          <w:lang w:val="en-GB"/>
        </w:rPr>
        <w:t>The Extended Mind</w:t>
      </w:r>
      <w:r>
        <w:rPr>
          <w:rFonts w:ascii="Garamond" w:eastAsia="Times New Roman" w:hAnsi="Garamond" w:cs="Times New Roman"/>
          <w:lang w:val="en-GB"/>
        </w:rPr>
        <w:t xml:space="preserve"> (</w:t>
      </w:r>
      <w:r>
        <w:rPr>
          <w:rFonts w:ascii="Garamond" w:eastAsia="Times New Roman" w:hAnsi="Garamond" w:cs="Times New Roman"/>
        </w:rPr>
        <w:t>Cambridge, MA:</w:t>
      </w:r>
      <w:r>
        <w:rPr>
          <w:rFonts w:ascii="Garamond" w:eastAsia="Times New Roman" w:hAnsi="Garamond" w:cs="Times New Roman"/>
          <w:lang w:val="en-GB"/>
        </w:rPr>
        <w:t xml:space="preserve"> MIT Press), 43–66.</w:t>
      </w:r>
    </w:p>
    <w:p w14:paraId="6DEC7BE6"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Clark, A. </w:t>
      </w:r>
      <w:r>
        <w:rPr>
          <w:rFonts w:ascii="Garamond" w:eastAsia="Times New Roman" w:hAnsi="Garamond" w:cs="Times New Roman"/>
          <w:iCs/>
        </w:rPr>
        <w:t xml:space="preserve">and </w:t>
      </w:r>
      <w:r>
        <w:rPr>
          <w:rFonts w:ascii="Garamond" w:eastAsia="Times New Roman" w:hAnsi="Garamond" w:cs="Times New Roman"/>
        </w:rPr>
        <w:t xml:space="preserve">D. Chalmers. (1998) ‘The Extended Mind’. </w:t>
      </w:r>
      <w:r>
        <w:rPr>
          <w:rFonts w:ascii="Garamond" w:eastAsia="Times New Roman" w:hAnsi="Garamond" w:cs="Times New Roman"/>
          <w:i/>
          <w:iCs/>
        </w:rPr>
        <w:t>Analysis,</w:t>
      </w:r>
      <w:r>
        <w:rPr>
          <w:rFonts w:ascii="Garamond" w:eastAsia="Times New Roman" w:hAnsi="Garamond" w:cs="Times New Roman"/>
        </w:rPr>
        <w:t xml:space="preserve"> 58, 7–19.</w:t>
      </w:r>
    </w:p>
    <w:p w14:paraId="245A1108" w14:textId="77777777" w:rsidR="00151ACA" w:rsidRDefault="00151ACA" w:rsidP="00151ACA">
      <w:pPr>
        <w:spacing w:line="360" w:lineRule="auto"/>
        <w:ind w:left="720" w:hanging="720"/>
        <w:jc w:val="left"/>
        <w:rPr>
          <w:rFonts w:ascii="Garamond" w:eastAsia="Times New Roman" w:hAnsi="Garamond" w:cs="Times New Roman"/>
          <w:highlight w:val="white"/>
          <w:lang w:val="en-GB"/>
        </w:rPr>
      </w:pPr>
      <w:r>
        <w:rPr>
          <w:rFonts w:ascii="Garamond" w:eastAsia="Times New Roman" w:hAnsi="Garamond" w:cs="Times New Roman"/>
          <w:highlight w:val="white"/>
          <w:lang w:val="en-GB"/>
        </w:rPr>
        <w:t xml:space="preserve">Clowes, R. W. (2012) ‘Hybrid Memory, Cognitive Technology and Self’. </w:t>
      </w:r>
      <w:r>
        <w:rPr>
          <w:rFonts w:ascii="Garamond" w:eastAsia="Times New Roman" w:hAnsi="Garamond" w:cs="Times New Roman"/>
          <w:i/>
          <w:iCs/>
          <w:highlight w:val="white"/>
          <w:lang w:val="en-GB"/>
        </w:rPr>
        <w:t>Proceedings of the 5th AISB Symposium on Computing and Philosophy,</w:t>
      </w:r>
      <w:r>
        <w:rPr>
          <w:rFonts w:ascii="Garamond" w:eastAsia="Times New Roman" w:hAnsi="Garamond" w:cs="Times New Roman"/>
          <w:highlight w:val="white"/>
          <w:lang w:val="en-GB"/>
        </w:rPr>
        <w:t> 4-13.</w:t>
      </w:r>
    </w:p>
    <w:p w14:paraId="2E4C17BB"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highlight w:val="white"/>
        </w:rPr>
        <w:t xml:space="preserve">Cohen, G.A. (1995) </w:t>
      </w:r>
      <w:r>
        <w:rPr>
          <w:rFonts w:ascii="Garamond" w:eastAsia="Times New Roman" w:hAnsi="Garamond" w:cs="Times New Roman"/>
          <w:i/>
          <w:highlight w:val="white"/>
        </w:rPr>
        <w:t>Self-Ownership, Freedom and Equality</w:t>
      </w:r>
      <w:r>
        <w:rPr>
          <w:rFonts w:ascii="Garamond" w:eastAsia="Times New Roman" w:hAnsi="Garamond" w:cs="Times New Roman"/>
          <w:highlight w:val="white"/>
        </w:rPr>
        <w:t>. Cambridge: Cambridge University Press.</w:t>
      </w:r>
    </w:p>
    <w:p w14:paraId="383720C6" w14:textId="77777777" w:rsidR="00151ACA" w:rsidRDefault="00151ACA" w:rsidP="00151ACA">
      <w:pPr>
        <w:spacing w:line="360" w:lineRule="auto"/>
        <w:ind w:left="720" w:hanging="720"/>
        <w:jc w:val="left"/>
        <w:rPr>
          <w:rFonts w:ascii="Garamond" w:eastAsia="Times New Roman" w:hAnsi="Garamond" w:cs="Times New Roman"/>
        </w:rPr>
      </w:pPr>
      <w:r w:rsidRPr="004E41C1">
        <w:rPr>
          <w:rFonts w:ascii="Garamond" w:eastAsia="Times New Roman" w:hAnsi="Garamond" w:cs="Times New Roman"/>
          <w:i/>
          <w:iCs/>
          <w:lang w:val="en-GB"/>
        </w:rPr>
        <w:t>Fagan v. Metropolitan Police Commissioner</w:t>
      </w:r>
      <w:r w:rsidRPr="004E41C1">
        <w:rPr>
          <w:rFonts w:ascii="Garamond" w:eastAsia="Times New Roman" w:hAnsi="Garamond" w:cs="Times New Roman"/>
          <w:lang w:val="en-GB"/>
        </w:rPr>
        <w:t>, 1969 Q.B.1 439 (1969).</w:t>
      </w:r>
    </w:p>
    <w:p w14:paraId="35F11C7B"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Froese, T., C. Gershenson, and D. A. Rosenblueth. (2013). ‘The Dynamically Extended Mind’. Available at: http://arxiv.org/abs/1305.1958.</w:t>
      </w:r>
    </w:p>
    <w:p w14:paraId="7DDE5845"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Gray, C. H., ed. (1995) </w:t>
      </w:r>
      <w:r>
        <w:rPr>
          <w:rFonts w:ascii="Garamond" w:eastAsia="Times New Roman" w:hAnsi="Garamond" w:cs="Times New Roman"/>
          <w:i/>
        </w:rPr>
        <w:t>The Cyborg Handbook</w:t>
      </w:r>
      <w:r>
        <w:rPr>
          <w:rFonts w:ascii="Garamond" w:eastAsia="Times New Roman" w:hAnsi="Garamond" w:cs="Times New Roman"/>
        </w:rPr>
        <w:t>. New York: Routledge.</w:t>
      </w:r>
    </w:p>
    <w:p w14:paraId="55ED5B1B"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Heersmink, R. (2015) ‘Extended Mind and Cognitive Enhancement: Moral Aspects of Cognitive Artifacts’. </w:t>
      </w:r>
      <w:r>
        <w:rPr>
          <w:rFonts w:ascii="Garamond" w:eastAsia="Times New Roman" w:hAnsi="Garamond" w:cs="Times New Roman"/>
          <w:i/>
          <w:iCs/>
          <w:lang w:val="en-GB"/>
        </w:rPr>
        <w:t>Phenomenology and the Cognitive Sciences</w:t>
      </w:r>
      <w:r>
        <w:rPr>
          <w:rFonts w:ascii="Garamond" w:eastAsia="Times New Roman" w:hAnsi="Garamond" w:cs="Times New Roman"/>
          <w:lang w:val="en-GB"/>
        </w:rPr>
        <w:t>, 1–16.</w:t>
      </w:r>
    </w:p>
    <w:p w14:paraId="0DCD0762" w14:textId="77777777" w:rsidR="00151ACA" w:rsidRDefault="00151ACA" w:rsidP="00151ACA">
      <w:pPr>
        <w:spacing w:line="360" w:lineRule="auto"/>
        <w:ind w:left="709" w:hanging="720"/>
        <w:jc w:val="left"/>
        <w:rPr>
          <w:rFonts w:ascii="Garamond" w:eastAsia="Times New Roman" w:hAnsi="Garamond" w:cs="Times New Roman"/>
          <w:lang w:val="en-GB"/>
        </w:rPr>
      </w:pPr>
      <w:r>
        <w:rPr>
          <w:rFonts w:ascii="Garamond" w:eastAsia="Times New Roman" w:hAnsi="Garamond" w:cs="Times New Roman"/>
          <w:lang w:val="en-GB"/>
        </w:rPr>
        <w:t>Heersmink, R. (2016) ‘Distributed Selves: Personal Identity and Extended Memory Systems. </w:t>
      </w:r>
      <w:r>
        <w:rPr>
          <w:rFonts w:ascii="Garamond" w:eastAsia="Times New Roman" w:hAnsi="Garamond" w:cs="Times New Roman"/>
          <w:i/>
          <w:iCs/>
          <w:lang w:val="en-GB"/>
        </w:rPr>
        <w:t>Synthese</w:t>
      </w:r>
      <w:r>
        <w:rPr>
          <w:rFonts w:ascii="Garamond" w:eastAsia="Times New Roman" w:hAnsi="Garamond" w:cs="Times New Roman"/>
          <w:lang w:val="en-GB"/>
        </w:rPr>
        <w:t>, 1–17.</w:t>
      </w:r>
    </w:p>
    <w:p w14:paraId="0DA0F5A6"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Heersmink, R. (Forthcoming). ‘Distributed Cognition and Distributed Morality: Agency, Artifacts and Systems’. </w:t>
      </w:r>
      <w:r>
        <w:rPr>
          <w:rFonts w:ascii="Garamond" w:eastAsia="Times New Roman" w:hAnsi="Garamond" w:cs="Times New Roman"/>
          <w:i/>
          <w:iCs/>
          <w:lang w:val="en-GB"/>
        </w:rPr>
        <w:t>Science and Engineering Ethics</w:t>
      </w:r>
      <w:r>
        <w:rPr>
          <w:rFonts w:ascii="Garamond" w:eastAsia="Times New Roman" w:hAnsi="Garamond" w:cs="Times New Roman"/>
          <w:lang w:val="en-GB"/>
        </w:rPr>
        <w:t>, 1–18.</w:t>
      </w:r>
    </w:p>
    <w:p w14:paraId="72FC99DF" w14:textId="77777777" w:rsidR="00151ACA" w:rsidRDefault="00151ACA" w:rsidP="00151ACA">
      <w:pPr>
        <w:spacing w:line="360" w:lineRule="auto"/>
        <w:ind w:left="709" w:hanging="709"/>
        <w:jc w:val="left"/>
        <w:rPr>
          <w:rFonts w:ascii="Garamond" w:eastAsia="Times New Roman" w:hAnsi="Garamond" w:cs="Times New Roman"/>
        </w:rPr>
      </w:pPr>
      <w:r>
        <w:rPr>
          <w:rFonts w:ascii="Garamond" w:eastAsia="Times New Roman" w:hAnsi="Garamond" w:cs="Times New Roman"/>
        </w:rPr>
        <w:t xml:space="preserve">Hoven, E., C. Cas, and S. Whittaker. (2012) ‘Introduction to this Special Issue on Designing for Personal Memories: Past, Present, and Future’. </w:t>
      </w:r>
      <w:r>
        <w:rPr>
          <w:rFonts w:ascii="Garamond" w:eastAsia="Times New Roman" w:hAnsi="Garamond" w:cs="Times New Roman"/>
          <w:i/>
        </w:rPr>
        <w:t>Human-Computer Interaction</w:t>
      </w:r>
      <w:r>
        <w:rPr>
          <w:rFonts w:ascii="Garamond" w:eastAsia="Times New Roman" w:hAnsi="Garamond" w:cs="Times New Roman"/>
        </w:rPr>
        <w:t>, 27, 1–12.</w:t>
      </w:r>
    </w:p>
    <w:p w14:paraId="5FA80588"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Howard-Snyder, F. (2011) ‘Doing vs. Allowing Harm’. In Edward N. Zalta (ed.), </w:t>
      </w:r>
      <w:r>
        <w:rPr>
          <w:rFonts w:ascii="Garamond" w:eastAsia="Times New Roman" w:hAnsi="Garamond" w:cs="Times New Roman"/>
          <w:i/>
        </w:rPr>
        <w:t>The Stanford Encyclopedia of Philosophy</w:t>
      </w:r>
      <w:r>
        <w:rPr>
          <w:rFonts w:ascii="Garamond" w:eastAsia="Times New Roman" w:hAnsi="Garamond" w:cs="Times New Roman"/>
        </w:rPr>
        <w:t xml:space="preserve">. Available at: </w:t>
      </w:r>
      <w:r>
        <w:rPr>
          <w:rFonts w:ascii="Garamond" w:eastAsia="Times New Roman" w:hAnsi="Garamond" w:cs="Times New Roman"/>
          <w:lang w:val="en-GB"/>
        </w:rPr>
        <w:t>http://plato.stanford.edu/</w:t>
      </w:r>
      <w:r>
        <w:rPr>
          <w:rFonts w:ascii="Garamond" w:eastAsia="Times New Roman" w:hAnsi="Garamond" w:cs="Times New Roman"/>
        </w:rPr>
        <w:t>.</w:t>
      </w:r>
    </w:p>
    <w:p w14:paraId="4BE9269F" w14:textId="77777777" w:rsidR="00151ACA" w:rsidRDefault="00151ACA" w:rsidP="00151ACA">
      <w:pPr>
        <w:spacing w:line="360" w:lineRule="auto"/>
        <w:jc w:val="left"/>
        <w:rPr>
          <w:rFonts w:ascii="Garamond" w:hAnsi="Garamond" w:cs="Baskerville"/>
        </w:rPr>
      </w:pPr>
      <w:r>
        <w:rPr>
          <w:rFonts w:ascii="Garamond" w:hAnsi="Garamond" w:cs="Baskerville"/>
        </w:rPr>
        <w:t xml:space="preserve">Hutchins, E. (1995) </w:t>
      </w:r>
      <w:r>
        <w:rPr>
          <w:rFonts w:ascii="Garamond" w:hAnsi="Garamond" w:cs="Baskerville"/>
          <w:i/>
        </w:rPr>
        <w:t>Cognition in the Wild</w:t>
      </w:r>
      <w:r>
        <w:rPr>
          <w:rFonts w:ascii="Garamond" w:hAnsi="Garamond" w:cs="Baskerville"/>
        </w:rPr>
        <w:t>. Cambridge: MIT Press</w:t>
      </w:r>
    </w:p>
    <w:p w14:paraId="4A7B7109" w14:textId="77777777" w:rsidR="00151ACA" w:rsidRDefault="00151ACA" w:rsidP="00151ACA">
      <w:pPr>
        <w:spacing w:line="360" w:lineRule="auto"/>
        <w:ind w:left="709" w:hanging="709"/>
        <w:jc w:val="left"/>
        <w:rPr>
          <w:rFonts w:ascii="Garamond" w:eastAsia="Times New Roman" w:hAnsi="Garamond" w:cs="Times New Roman"/>
          <w:lang w:val="en-GB"/>
        </w:rPr>
      </w:pPr>
      <w:r>
        <w:rPr>
          <w:rFonts w:ascii="Garamond" w:eastAsia="Times New Roman" w:hAnsi="Garamond" w:cs="Times New Roman"/>
          <w:lang w:val="en-GB"/>
        </w:rPr>
        <w:t>Kiverstein, J., and M. Farina. (2012) ‘Do Sensory Substitution Devices Extend the Conscious Mind?’ In F. Paglieri (ed.), </w:t>
      </w:r>
      <w:r>
        <w:rPr>
          <w:rFonts w:ascii="Garamond" w:eastAsia="Times New Roman" w:hAnsi="Garamond" w:cs="Times New Roman"/>
          <w:i/>
          <w:iCs/>
          <w:lang w:val="en-GB"/>
        </w:rPr>
        <w:t>Consciousness in Interaction: The Role of the Natural and Social Context in Shaping Consciousness </w:t>
      </w:r>
      <w:r>
        <w:rPr>
          <w:rFonts w:ascii="Garamond" w:eastAsia="Times New Roman" w:hAnsi="Garamond" w:cs="Times New Roman"/>
          <w:lang w:val="en-GB"/>
        </w:rPr>
        <w:t>(Philadelphia: John Benjamins Publishing), 19–40.</w:t>
      </w:r>
    </w:p>
    <w:p w14:paraId="7CAC46D9" w14:textId="77777777" w:rsidR="00151ACA" w:rsidRDefault="00151ACA" w:rsidP="00151ACA">
      <w:pPr>
        <w:spacing w:line="360" w:lineRule="auto"/>
        <w:ind w:left="709" w:hanging="709"/>
        <w:jc w:val="left"/>
        <w:rPr>
          <w:rFonts w:ascii="Garamond" w:eastAsia="Times New Roman" w:hAnsi="Garamond" w:cs="Times New Roman"/>
          <w:lang w:val="en-GB"/>
        </w:rPr>
      </w:pPr>
      <w:r>
        <w:rPr>
          <w:rFonts w:ascii="Garamond" w:eastAsia="Times New Roman" w:hAnsi="Garamond" w:cs="Times New Roman"/>
          <w:lang w:val="en-GB"/>
        </w:rPr>
        <w:t xml:space="preserve">Levin, Janet. (2013) ‘Functionalism’. In </w:t>
      </w:r>
      <w:r>
        <w:rPr>
          <w:rFonts w:ascii="Garamond" w:eastAsia="Times New Roman" w:hAnsi="Garamond" w:cs="Times New Roman"/>
          <w:lang w:val="en-GB"/>
        </w:rPr>
        <w:t xml:space="preserve">Edward N. Zalta (ed.), </w:t>
      </w:r>
      <w:r>
        <w:rPr>
          <w:rFonts w:ascii="Garamond" w:eastAsia="Times New Roman" w:hAnsi="Garamond" w:cs="Times New Roman"/>
          <w:i/>
          <w:iCs/>
          <w:lang w:val="en-GB"/>
        </w:rPr>
        <w:t>The Stanford Encyclopedia of Philosophy</w:t>
      </w:r>
      <w:proofErr w:type="gramStart"/>
      <w:r>
        <w:rPr>
          <w:rFonts w:ascii="Garamond" w:eastAsia="Times New Roman" w:hAnsi="Garamond" w:cs="Times New Roman"/>
          <w:i/>
          <w:iCs/>
          <w:lang w:val="en-GB"/>
        </w:rPr>
        <w:t xml:space="preserve">. </w:t>
      </w:r>
      <w:r>
        <w:rPr>
          <w:rFonts w:ascii="Garamond" w:eastAsia="Times New Roman" w:hAnsi="Garamond" w:cs="Times New Roman"/>
          <w:lang w:val="en-GB"/>
        </w:rPr>
        <w:t>,</w:t>
      </w:r>
      <w:proofErr w:type="gramEnd"/>
      <w:r>
        <w:rPr>
          <w:rFonts w:ascii="Garamond" w:eastAsia="Times New Roman" w:hAnsi="Garamond" w:cs="Times New Roman"/>
          <w:lang w:val="en-GB"/>
        </w:rPr>
        <w:t xml:space="preserve"> Available at: http://plato.stanford.edu/archives/fall2013/entries/functionalism/.</w:t>
      </w:r>
    </w:p>
    <w:p w14:paraId="7826F834" w14:textId="77777777" w:rsidR="00151ACA" w:rsidRDefault="00151ACA" w:rsidP="00151ACA">
      <w:pPr>
        <w:spacing w:line="360" w:lineRule="auto"/>
        <w:jc w:val="left"/>
        <w:rPr>
          <w:rFonts w:ascii="Garamond" w:hAnsi="Garamond" w:cs="Baskerville"/>
        </w:rPr>
      </w:pPr>
      <w:r>
        <w:rPr>
          <w:rFonts w:ascii="Garamond" w:eastAsia="Times New Roman" w:hAnsi="Garamond" w:cs="Times New Roman"/>
        </w:rPr>
        <w:t xml:space="preserve">Lynch, M. (2016) </w:t>
      </w:r>
      <w:r>
        <w:rPr>
          <w:rFonts w:ascii="Garamond" w:eastAsia="Times New Roman" w:hAnsi="Garamond" w:cs="Times New Roman"/>
          <w:i/>
        </w:rPr>
        <w:t>The Internet of Us</w:t>
      </w:r>
      <w:r>
        <w:rPr>
          <w:rFonts w:ascii="Garamond" w:eastAsia="Times New Roman" w:hAnsi="Garamond" w:cs="Times New Roman"/>
        </w:rPr>
        <w:t>. New York: Liveright Publishing.</w:t>
      </w:r>
    </w:p>
    <w:p w14:paraId="0A0CC906"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Menary, R. (2006) ‘Attacking the Bounds of Cognition’. </w:t>
      </w:r>
      <w:r>
        <w:rPr>
          <w:rFonts w:ascii="Garamond" w:eastAsia="Times New Roman" w:hAnsi="Garamond" w:cs="Times New Roman"/>
          <w:i/>
          <w:iCs/>
        </w:rPr>
        <w:t>Philosophical Psychology,</w:t>
      </w:r>
      <w:r>
        <w:rPr>
          <w:rFonts w:ascii="Garamond" w:eastAsia="Times New Roman" w:hAnsi="Garamond" w:cs="Times New Roman"/>
        </w:rPr>
        <w:t xml:space="preserve"> 19, 329–44.</w:t>
      </w:r>
    </w:p>
    <w:p w14:paraId="27888E79"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Menary, R. (2007) </w:t>
      </w:r>
      <w:r>
        <w:rPr>
          <w:rFonts w:ascii="Garamond" w:eastAsia="Times New Roman" w:hAnsi="Garamond" w:cs="Times New Roman"/>
          <w:i/>
        </w:rPr>
        <w:t>Cognitive Integration: Mind and Cognition Unbound</w:t>
      </w:r>
      <w:r>
        <w:rPr>
          <w:rFonts w:ascii="Garamond" w:eastAsia="Times New Roman" w:hAnsi="Garamond" w:cs="Times New Roman"/>
        </w:rPr>
        <w:t>. Basingstoke: Palgrave McMillan.</w:t>
      </w:r>
    </w:p>
    <w:p w14:paraId="3CCE80A3"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Miah, A., </w:t>
      </w:r>
      <w:r>
        <w:rPr>
          <w:rFonts w:ascii="Garamond" w:eastAsia="Times New Roman" w:hAnsi="Garamond" w:cs="Times New Roman"/>
          <w:iCs/>
        </w:rPr>
        <w:t xml:space="preserve">and </w:t>
      </w:r>
      <w:r>
        <w:rPr>
          <w:rFonts w:ascii="Garamond" w:eastAsia="Times New Roman" w:hAnsi="Garamond" w:cs="Times New Roman"/>
        </w:rPr>
        <w:t xml:space="preserve">E. Rich. (2008) </w:t>
      </w:r>
      <w:r>
        <w:rPr>
          <w:rFonts w:ascii="Garamond" w:eastAsia="Times New Roman" w:hAnsi="Garamond" w:cs="Times New Roman"/>
          <w:i/>
          <w:iCs/>
        </w:rPr>
        <w:t>The Medicalization of Cyberspace</w:t>
      </w:r>
      <w:r>
        <w:rPr>
          <w:rFonts w:ascii="Garamond" w:eastAsia="Times New Roman" w:hAnsi="Garamond" w:cs="Times New Roman"/>
        </w:rPr>
        <w:t>. London: Routledge.</w:t>
      </w:r>
    </w:p>
    <w:p w14:paraId="5929CE65"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O’Hara, K., M. M. Tufflied, and N. Shadbolt. (2008) ‘Lifelogging: Privacy and Empowerment with Memories for Life. </w:t>
      </w:r>
      <w:r>
        <w:rPr>
          <w:rFonts w:ascii="Garamond" w:eastAsia="Times New Roman" w:hAnsi="Garamond" w:cs="Times New Roman"/>
          <w:i/>
        </w:rPr>
        <w:t>Identity in the Information Society</w:t>
      </w:r>
      <w:r>
        <w:rPr>
          <w:rFonts w:ascii="Garamond" w:eastAsia="Times New Roman" w:hAnsi="Garamond" w:cs="Times New Roman"/>
        </w:rPr>
        <w:t>, 1, 155–72.</w:t>
      </w:r>
    </w:p>
    <w:p w14:paraId="33DFE916"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 xml:space="preserve">Olson, E. (2011). The Extended Self. </w:t>
      </w:r>
      <w:r w:rsidRPr="0089468F">
        <w:rPr>
          <w:rFonts w:ascii="Garamond" w:eastAsia="Times New Roman" w:hAnsi="Garamond" w:cs="Times New Roman"/>
          <w:i/>
          <w:iCs/>
          <w:lang w:val="en-GB"/>
        </w:rPr>
        <w:t>Minds and Machines</w:t>
      </w:r>
      <w:r w:rsidRPr="0089468F">
        <w:rPr>
          <w:rFonts w:ascii="Garamond" w:eastAsia="Times New Roman" w:hAnsi="Garamond" w:cs="Times New Roman"/>
          <w:lang w:val="en-GB"/>
        </w:rPr>
        <w:t> 21 (special issue: The Construction of Personal Identities Online), 2011: 481-495</w:t>
      </w:r>
      <w:r>
        <w:rPr>
          <w:rFonts w:ascii="Garamond" w:eastAsia="Times New Roman" w:hAnsi="Garamond" w:cs="Times New Roman"/>
          <w:lang w:val="en-GB"/>
        </w:rPr>
        <w:t>.</w:t>
      </w:r>
    </w:p>
    <w:p w14:paraId="2FFDB627" w14:textId="77777777" w:rsidR="00151ACA" w:rsidRDefault="00151ACA" w:rsidP="00151ACA">
      <w:pPr>
        <w:spacing w:line="360" w:lineRule="auto"/>
        <w:ind w:left="720" w:hanging="720"/>
        <w:jc w:val="left"/>
        <w:rPr>
          <w:rFonts w:ascii="Garamond" w:eastAsia="Times New Roman" w:hAnsi="Garamond" w:cs="Times New Roman"/>
          <w:lang w:val="en-GB"/>
        </w:rPr>
      </w:pPr>
      <w:r>
        <w:rPr>
          <w:rFonts w:ascii="Garamond" w:eastAsia="Times New Roman" w:hAnsi="Garamond" w:cs="Times New Roman"/>
          <w:lang w:val="en-GB"/>
        </w:rPr>
        <w:t>Palermos, S. O. (2014</w:t>
      </w:r>
      <w:r w:rsidRPr="00B452B9">
        <w:rPr>
          <w:rFonts w:ascii="Garamond" w:eastAsia="Times New Roman" w:hAnsi="Garamond" w:cs="Times New Roman"/>
          <w:iCs/>
          <w:lang w:val="en-GB"/>
        </w:rPr>
        <w:t>a</w:t>
      </w:r>
      <w:r>
        <w:rPr>
          <w:rFonts w:ascii="Garamond" w:eastAsia="Times New Roman" w:hAnsi="Garamond" w:cs="Times New Roman"/>
          <w:lang w:val="en-GB"/>
        </w:rPr>
        <w:t xml:space="preserve">). ‘Loops, Constitution, and Cognitive Extension’. </w:t>
      </w:r>
      <w:r>
        <w:rPr>
          <w:rFonts w:ascii="Garamond" w:eastAsia="Times New Roman" w:hAnsi="Garamond" w:cs="Times New Roman"/>
          <w:i/>
          <w:iCs/>
          <w:lang w:val="en-GB"/>
        </w:rPr>
        <w:t>Cognitive Systems Research</w:t>
      </w:r>
      <w:r>
        <w:rPr>
          <w:rFonts w:ascii="Garamond" w:eastAsia="Times New Roman" w:hAnsi="Garamond" w:cs="Times New Roman"/>
          <w:lang w:val="en-GB"/>
        </w:rPr>
        <w:t>, </w:t>
      </w:r>
      <w:r w:rsidRPr="00B452B9">
        <w:rPr>
          <w:rFonts w:ascii="Garamond" w:eastAsia="Times New Roman" w:hAnsi="Garamond" w:cs="Times New Roman"/>
          <w:lang w:val="en-GB"/>
        </w:rPr>
        <w:t>27</w:t>
      </w:r>
      <w:r>
        <w:rPr>
          <w:rFonts w:ascii="Garamond" w:eastAsia="Times New Roman" w:hAnsi="Garamond" w:cs="Times New Roman"/>
          <w:lang w:val="en-GB"/>
        </w:rPr>
        <w:t>, 25–41.</w:t>
      </w:r>
    </w:p>
    <w:p w14:paraId="3341C2BF"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Robb, K. (1994) </w:t>
      </w:r>
      <w:r>
        <w:rPr>
          <w:rFonts w:ascii="Garamond" w:eastAsia="Times New Roman" w:hAnsi="Garamond" w:cs="Times New Roman"/>
          <w:i/>
          <w:iCs/>
        </w:rPr>
        <w:t>Literacy and Paideia in Ancient Greece</w:t>
      </w:r>
      <w:r>
        <w:rPr>
          <w:rFonts w:ascii="Garamond" w:eastAsia="Times New Roman" w:hAnsi="Garamond" w:cs="Times New Roman"/>
        </w:rPr>
        <w:t>. Oxford: Oxford University Press.</w:t>
      </w:r>
    </w:p>
    <w:p w14:paraId="7CD8E549"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Rupert, D. R. (2004) ‘Challenges to the Hypothesis of Extended Cognition’. </w:t>
      </w:r>
      <w:r w:rsidRPr="00B452B9">
        <w:rPr>
          <w:rFonts w:ascii="Garamond" w:eastAsia="Times New Roman" w:hAnsi="Garamond" w:cs="Times New Roman"/>
          <w:i/>
          <w:iCs/>
        </w:rPr>
        <w:t>Journal of Philosophy</w:t>
      </w:r>
      <w:r>
        <w:rPr>
          <w:rFonts w:ascii="Garamond" w:eastAsia="Times New Roman" w:hAnsi="Garamond" w:cs="Times New Roman"/>
          <w:i/>
          <w:iCs/>
        </w:rPr>
        <w:t>,</w:t>
      </w:r>
    </w:p>
    <w:p w14:paraId="27E121CC" w14:textId="77777777" w:rsidR="00151ACA" w:rsidRDefault="00151ACA" w:rsidP="00151ACA">
      <w:pPr>
        <w:spacing w:line="360" w:lineRule="auto"/>
        <w:ind w:left="1276" w:hanging="720"/>
        <w:jc w:val="left"/>
        <w:rPr>
          <w:rFonts w:ascii="Garamond" w:eastAsia="Times New Roman" w:hAnsi="Garamond" w:cs="Times New Roman"/>
        </w:rPr>
      </w:pPr>
      <w:r>
        <w:rPr>
          <w:rFonts w:ascii="Garamond" w:eastAsia="Times New Roman" w:hAnsi="Garamond" w:cs="Times New Roman"/>
        </w:rPr>
        <w:t>101, 389–428.</w:t>
      </w:r>
    </w:p>
    <w:p w14:paraId="02DA67C1"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Rupert, D. R. (2009). </w:t>
      </w:r>
      <w:r w:rsidRPr="00B452B9">
        <w:rPr>
          <w:rFonts w:ascii="Garamond" w:eastAsia="Times New Roman" w:hAnsi="Garamond" w:cs="Times New Roman"/>
          <w:i/>
          <w:iCs/>
        </w:rPr>
        <w:t>Cognitive Systems and the Extended Mind</w:t>
      </w:r>
      <w:r>
        <w:rPr>
          <w:rFonts w:ascii="Garamond" w:eastAsia="Times New Roman" w:hAnsi="Garamond" w:cs="Times New Roman"/>
        </w:rPr>
        <w:t>. Oxford: Oxford University Press.</w:t>
      </w:r>
    </w:p>
    <w:p w14:paraId="0FCB0606" w14:textId="77777777" w:rsidR="00151ACA" w:rsidRDefault="00151ACA" w:rsidP="00151ACA">
      <w:pPr>
        <w:spacing w:line="480" w:lineRule="auto"/>
        <w:ind w:left="851" w:hanging="851"/>
        <w:jc w:val="left"/>
        <w:rPr>
          <w:rFonts w:ascii="Baskerville" w:hAnsi="Baskerville"/>
        </w:rPr>
      </w:pPr>
      <w:r>
        <w:rPr>
          <w:rFonts w:ascii="Baskerville" w:hAnsi="Baskerville"/>
        </w:rPr>
        <w:t xml:space="preserve">Sprevak, M. (2009) ‘Extended Cognition and Functionalism’. </w:t>
      </w:r>
      <w:r>
        <w:rPr>
          <w:rFonts w:ascii="Baskerville" w:hAnsi="Baskerville"/>
          <w:i/>
        </w:rPr>
        <w:t>Journal of Philosophy,</w:t>
      </w:r>
      <w:r>
        <w:rPr>
          <w:rFonts w:ascii="Baskerville" w:hAnsi="Baskerville"/>
        </w:rPr>
        <w:t xml:space="preserve"> 106, 503–27.</w:t>
      </w:r>
    </w:p>
    <w:p w14:paraId="7AB2BC6A"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Sutton, J. (2008) ‘Between Individual and Collective Memory: Coordination, Interaction, Distribution’. </w:t>
      </w:r>
      <w:r>
        <w:rPr>
          <w:rFonts w:ascii="Garamond" w:eastAsia="Times New Roman" w:hAnsi="Garamond" w:cs="Times New Roman"/>
          <w:i/>
        </w:rPr>
        <w:t>Social Research,</w:t>
      </w:r>
      <w:r>
        <w:rPr>
          <w:rFonts w:ascii="Garamond" w:eastAsia="Times New Roman" w:hAnsi="Garamond" w:cs="Times New Roman"/>
        </w:rPr>
        <w:t xml:space="preserve"> 75, 23–48.</w:t>
      </w:r>
    </w:p>
    <w:p w14:paraId="35F3341B"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Sutton, J., A. Barnier, C. Harris, and R. Wilson. (2008) ‘A Conceptual and Empirical Framework for the Social Distribution of Cognition: The Case of Memory’. </w:t>
      </w:r>
      <w:r>
        <w:rPr>
          <w:rFonts w:ascii="Garamond" w:eastAsia="Times New Roman" w:hAnsi="Garamond" w:cs="Times New Roman"/>
          <w:i/>
        </w:rPr>
        <w:t>Cognitive Systems Research</w:t>
      </w:r>
      <w:r>
        <w:rPr>
          <w:rFonts w:ascii="Garamond" w:eastAsia="Times New Roman" w:hAnsi="Garamond" w:cs="Times New Roman"/>
        </w:rPr>
        <w:t>, 9, 35–51.</w:t>
      </w:r>
    </w:p>
    <w:p w14:paraId="4E22C48D" w14:textId="77777777" w:rsidR="00151ACA" w:rsidRDefault="00151ACA" w:rsidP="00151ACA">
      <w:pPr>
        <w:spacing w:before="0" w:after="0" w:line="360" w:lineRule="auto"/>
        <w:ind w:left="720" w:hanging="720"/>
        <w:jc w:val="left"/>
        <w:rPr>
          <w:rFonts w:ascii="Garamond" w:eastAsia="Times New Roman" w:hAnsi="Garamond" w:cs="Times New Roman"/>
        </w:rPr>
      </w:pPr>
      <w:r>
        <w:rPr>
          <w:rFonts w:ascii="Garamond" w:eastAsia="Times New Roman" w:hAnsi="Garamond" w:cs="Times New Roman"/>
        </w:rPr>
        <w:t xml:space="preserve">Taylor, C. (1991) </w:t>
      </w:r>
      <w:r>
        <w:rPr>
          <w:rFonts w:ascii="Garamond" w:eastAsia="Times New Roman" w:hAnsi="Garamond" w:cs="Times New Roman"/>
          <w:i/>
        </w:rPr>
        <w:t>The Ethics of Authenticity</w:t>
      </w:r>
      <w:r>
        <w:rPr>
          <w:rFonts w:ascii="Garamond" w:eastAsia="Times New Roman" w:hAnsi="Garamond" w:cs="Times New Roman"/>
        </w:rPr>
        <w:t>. Cambridge: Cambridge University Press.</w:t>
      </w:r>
    </w:p>
    <w:p w14:paraId="26DB3FC6" w14:textId="77777777" w:rsidR="00151ACA" w:rsidRDefault="00151ACA" w:rsidP="00151ACA">
      <w:pPr>
        <w:spacing w:before="0" w:after="0" w:line="360" w:lineRule="auto"/>
        <w:ind w:left="720" w:hanging="720"/>
        <w:jc w:val="left"/>
        <w:rPr>
          <w:rFonts w:ascii="Garamond" w:eastAsia="Times New Roman" w:hAnsi="Garamond" w:cs="Times New Roman"/>
        </w:rPr>
      </w:pPr>
      <w:r>
        <w:rPr>
          <w:rFonts w:ascii="Garamond" w:eastAsia="Times New Roman" w:hAnsi="Garamond" w:cs="Times New Roman"/>
        </w:rPr>
        <w:t xml:space="preserve">Theiner, G. (2011) </w:t>
      </w:r>
      <w:r w:rsidRPr="00B452B9">
        <w:rPr>
          <w:rFonts w:ascii="Garamond" w:eastAsia="Times New Roman" w:hAnsi="Garamond" w:cs="Times New Roman"/>
          <w:i/>
          <w:iCs/>
        </w:rPr>
        <w:t>Res Cogitans Extensa: A Philosophical Defense of the Extended Mind Thesis</w:t>
      </w:r>
      <w:r>
        <w:rPr>
          <w:rFonts w:ascii="Garamond" w:eastAsia="Times New Roman" w:hAnsi="Garamond" w:cs="Times New Roman"/>
        </w:rPr>
        <w:t>.</w:t>
      </w:r>
    </w:p>
    <w:p w14:paraId="442A4DA5" w14:textId="77777777" w:rsidR="00151ACA" w:rsidRDefault="00151ACA" w:rsidP="00151ACA">
      <w:pPr>
        <w:spacing w:before="0" w:after="0" w:line="360" w:lineRule="auto"/>
        <w:ind w:left="1418" w:hanging="720"/>
        <w:jc w:val="left"/>
        <w:rPr>
          <w:rFonts w:ascii="Garamond" w:eastAsia="Times New Roman" w:hAnsi="Garamond" w:cs="Times New Roman"/>
        </w:rPr>
      </w:pPr>
      <w:r>
        <w:rPr>
          <w:rFonts w:ascii="Garamond" w:eastAsia="Times New Roman" w:hAnsi="Garamond" w:cs="Times New Roman"/>
        </w:rPr>
        <w:t>Bern, Switzerland: Peter Lang, Europäischer Verlag der Wissenschaften.</w:t>
      </w:r>
    </w:p>
    <w:p w14:paraId="25F18E0E"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Theiner, G., C. Allen, and R. Goldstone. (2010) ‘Recognizing Group Cognition’. </w:t>
      </w:r>
      <w:r>
        <w:rPr>
          <w:rFonts w:ascii="Garamond" w:eastAsia="Times New Roman" w:hAnsi="Garamond" w:cs="Times New Roman"/>
          <w:i/>
        </w:rPr>
        <w:t>Cognitive Systems Research</w:t>
      </w:r>
      <w:r>
        <w:rPr>
          <w:rFonts w:ascii="Garamond" w:eastAsia="Times New Roman" w:hAnsi="Garamond" w:cs="Times New Roman"/>
        </w:rPr>
        <w:t>, 11, 378–95.</w:t>
      </w:r>
    </w:p>
    <w:p w14:paraId="3EE38421"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Tollefsen, D., and R. Dale. (2011) ‘Naturalizing Joint Action: A Process-Based Approach’. </w:t>
      </w:r>
      <w:r>
        <w:rPr>
          <w:rFonts w:ascii="Garamond" w:eastAsia="Times New Roman" w:hAnsi="Garamond" w:cs="Times New Roman"/>
          <w:i/>
        </w:rPr>
        <w:t>Philosophical Psychology,</w:t>
      </w:r>
      <w:r>
        <w:rPr>
          <w:rFonts w:ascii="Garamond" w:eastAsia="Times New Roman" w:hAnsi="Garamond" w:cs="Times New Roman"/>
        </w:rPr>
        <w:t xml:space="preserve"> 25, 385–407.</w:t>
      </w:r>
    </w:p>
    <w:p w14:paraId="3950C60C" w14:textId="77777777" w:rsidR="00151ACA" w:rsidRDefault="00151ACA" w:rsidP="00151ACA">
      <w:pPr>
        <w:spacing w:line="360" w:lineRule="auto"/>
        <w:ind w:left="720" w:hanging="720"/>
        <w:jc w:val="left"/>
        <w:rPr>
          <w:rFonts w:ascii="Garamond" w:eastAsia="Times New Roman" w:hAnsi="Garamond" w:cs="Times New Roman"/>
        </w:rPr>
      </w:pPr>
      <w:r w:rsidRPr="0002338D">
        <w:rPr>
          <w:rFonts w:ascii="Garamond" w:eastAsia="Times New Roman" w:hAnsi="Garamond" w:cs="Times New Roman"/>
          <w:i/>
          <w:iCs/>
          <w:lang w:val="en-GB"/>
        </w:rPr>
        <w:t>United States v. Rabinowitz</w:t>
      </w:r>
      <w:r w:rsidRPr="0002338D">
        <w:rPr>
          <w:rFonts w:ascii="Garamond" w:eastAsia="Times New Roman" w:hAnsi="Garamond" w:cs="Times New Roman"/>
          <w:lang w:val="en-GB"/>
        </w:rPr>
        <w:t>, 339 U.S. 56, 70 S. Ct. 430, 94 L. Ed. 653 (1950).</w:t>
      </w:r>
    </w:p>
    <w:p w14:paraId="6ACA8EF3"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Varela, F., E. Thompson, and E. Rosch. (1991) </w:t>
      </w:r>
      <w:r w:rsidRPr="00B452B9">
        <w:rPr>
          <w:rFonts w:ascii="Garamond" w:eastAsia="Times New Roman" w:hAnsi="Garamond" w:cs="Times New Roman"/>
          <w:i/>
          <w:iCs/>
        </w:rPr>
        <w:t>The Embodied Mind: Cognitive Science and Human Experience</w:t>
      </w:r>
      <w:r>
        <w:rPr>
          <w:rFonts w:ascii="Garamond" w:eastAsia="Times New Roman" w:hAnsi="Garamond" w:cs="Times New Roman"/>
        </w:rPr>
        <w:t>. Cambridge, MA: MIT Press.</w:t>
      </w:r>
    </w:p>
    <w:p w14:paraId="77DB0340"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Wegner, M., T. Giuliano, and P. Hertel. (1985) ‘Cognitive Interdependence in Close Relationships’. In </w:t>
      </w:r>
      <w:r>
        <w:rPr>
          <w:rFonts w:ascii="Garamond" w:eastAsia="Times New Roman" w:hAnsi="Garamond" w:cs="Times New Roman"/>
        </w:rPr>
        <w:t>W. J. Ickes</w:t>
      </w:r>
      <w:r>
        <w:rPr>
          <w:rFonts w:ascii="Garamond" w:eastAsia="Times New Roman" w:hAnsi="Garamond" w:cs="Times New Roman"/>
        </w:rPr>
        <w:t xml:space="preserve"> (ed.), </w:t>
      </w:r>
      <w:r>
        <w:rPr>
          <w:rFonts w:ascii="Garamond" w:eastAsia="Times New Roman" w:hAnsi="Garamond" w:cs="Times New Roman"/>
          <w:i/>
        </w:rPr>
        <w:t>Compatible and Incompatible Relationships</w:t>
      </w:r>
      <w:r>
        <w:rPr>
          <w:rFonts w:ascii="Garamond" w:eastAsia="Times New Roman" w:hAnsi="Garamond" w:cs="Times New Roman"/>
        </w:rPr>
        <w:t xml:space="preserve"> (New York: Springer Verlag), 253–76.</w:t>
      </w:r>
    </w:p>
    <w:p w14:paraId="28189B92"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Weiskopf, D. (2008) ‘Patrolling the Mind’s Boundaries’. </w:t>
      </w:r>
      <w:r>
        <w:rPr>
          <w:rFonts w:ascii="Garamond" w:eastAsia="Times New Roman" w:hAnsi="Garamond" w:cs="Times New Roman"/>
          <w:i/>
        </w:rPr>
        <w:t>Erkenntnis,</w:t>
      </w:r>
      <w:r>
        <w:rPr>
          <w:rFonts w:ascii="Garamond" w:eastAsia="Times New Roman" w:hAnsi="Garamond" w:cs="Times New Roman"/>
        </w:rPr>
        <w:t xml:space="preserve"> 68, 265–76.</w:t>
      </w:r>
    </w:p>
    <w:p w14:paraId="53150A7A"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Wheeler, M. (2005) </w:t>
      </w:r>
      <w:r>
        <w:rPr>
          <w:rFonts w:ascii="Garamond" w:eastAsia="Times New Roman" w:hAnsi="Garamond" w:cs="Times New Roman"/>
          <w:i/>
        </w:rPr>
        <w:t>Reconstructing the Cognitive World.</w:t>
      </w:r>
      <w:r>
        <w:rPr>
          <w:rFonts w:ascii="Garamond" w:eastAsia="Times New Roman" w:hAnsi="Garamond" w:cs="Times New Roman"/>
        </w:rPr>
        <w:t xml:space="preserve"> Cambridge, MA: MIT Press.</w:t>
      </w:r>
    </w:p>
    <w:p w14:paraId="693FCD60"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Wheeler, M (2010) ‘In Defense of Extended Functionalism’. In R. Menary (ed.). </w:t>
      </w:r>
      <w:r>
        <w:rPr>
          <w:rFonts w:ascii="Garamond" w:eastAsia="Times New Roman" w:hAnsi="Garamond" w:cs="Times New Roman"/>
          <w:i/>
        </w:rPr>
        <w:t xml:space="preserve">The Extended Mind. </w:t>
      </w:r>
      <w:r>
        <w:rPr>
          <w:rFonts w:ascii="Garamond" w:eastAsia="Times New Roman" w:hAnsi="Garamond" w:cs="Times New Roman"/>
        </w:rPr>
        <w:t>Life and Mind Series: Philosophical Issues in Biology and Psychology (Cambridge, MA: MIT Press), 245–70.</w:t>
      </w:r>
    </w:p>
    <w:p w14:paraId="4FB6BAA9" w14:textId="77777777" w:rsidR="00151ACA" w:rsidRDefault="00151ACA" w:rsidP="00151ACA">
      <w:pPr>
        <w:spacing w:line="360" w:lineRule="auto"/>
        <w:ind w:left="720" w:hanging="720"/>
        <w:jc w:val="left"/>
        <w:rPr>
          <w:rFonts w:ascii="Garamond" w:eastAsia="Times New Roman" w:hAnsi="Garamond" w:cs="Times New Roman"/>
        </w:rPr>
      </w:pPr>
      <w:r>
        <w:rPr>
          <w:rFonts w:ascii="Garamond" w:eastAsia="Times New Roman" w:hAnsi="Garamond" w:cs="Times New Roman"/>
        </w:rPr>
        <w:t xml:space="preserve">Wilson, R. A. (2000) ‘The Mind Beyond Itself’. In D. Sperber (ed.), </w:t>
      </w:r>
      <w:r>
        <w:rPr>
          <w:rFonts w:ascii="Garamond" w:eastAsia="Times New Roman" w:hAnsi="Garamond" w:cs="Times New Roman"/>
          <w:i/>
        </w:rPr>
        <w:t>Metarepresentations: A Multidisciplinary Perspective</w:t>
      </w:r>
      <w:r>
        <w:rPr>
          <w:rFonts w:ascii="Garamond" w:eastAsia="Times New Roman" w:hAnsi="Garamond" w:cs="Times New Roman"/>
        </w:rPr>
        <w:t xml:space="preserve"> (New York: Oxford University Press), 31–52.</w:t>
      </w:r>
    </w:p>
    <w:p w14:paraId="3023B69E" w14:textId="77777777" w:rsidR="00151ACA" w:rsidRDefault="00151ACA" w:rsidP="00151ACA">
      <w:pPr>
        <w:spacing w:line="360" w:lineRule="auto"/>
        <w:ind w:left="720" w:hanging="720"/>
        <w:jc w:val="left"/>
        <w:rPr>
          <w:rFonts w:ascii="Garamond" w:eastAsia="Times New Roman" w:hAnsi="Garamond" w:cs="Times New Roman"/>
          <w:i/>
        </w:rPr>
      </w:pPr>
      <w:r>
        <w:rPr>
          <w:rFonts w:ascii="Garamond" w:eastAsia="Times New Roman" w:hAnsi="Garamond" w:cs="Times New Roman"/>
        </w:rPr>
        <w:t xml:space="preserve">Wilson, R. (2004) </w:t>
      </w:r>
      <w:r>
        <w:rPr>
          <w:rFonts w:ascii="Garamond" w:eastAsia="Times New Roman" w:hAnsi="Garamond" w:cs="Times New Roman"/>
          <w:i/>
        </w:rPr>
        <w:t>Boundaries of the Mind: The Individual in the fragile Sciences: Cognition</w:t>
      </w:r>
      <w:r>
        <w:rPr>
          <w:rFonts w:ascii="Garamond" w:eastAsia="Times New Roman" w:hAnsi="Garamond" w:cs="Times New Roman"/>
        </w:rPr>
        <w:t>. New York:</w:t>
      </w:r>
      <w:r>
        <w:rPr>
          <w:rFonts w:ascii="Garamond" w:eastAsia="Times New Roman" w:hAnsi="Garamond" w:cs="Times New Roman"/>
          <w:i/>
        </w:rPr>
        <w:t xml:space="preserve"> </w:t>
      </w:r>
      <w:r>
        <w:rPr>
          <w:rFonts w:ascii="Garamond" w:eastAsia="Times New Roman" w:hAnsi="Garamond" w:cs="Times New Roman"/>
        </w:rPr>
        <w:t>Cambridge University Press.</w:t>
      </w:r>
    </w:p>
    <w:p w14:paraId="6521A157" w14:textId="77777777" w:rsidR="00151ACA" w:rsidRDefault="00151ACA" w:rsidP="00151ACA">
      <w:pPr>
        <w:spacing w:line="360" w:lineRule="auto"/>
        <w:ind w:left="720" w:hanging="720"/>
        <w:jc w:val="left"/>
        <w:rPr>
          <w:rFonts w:ascii="Garamond" w:eastAsia="Times New Roman" w:hAnsi="Garamond" w:cs="Times New Roman"/>
        </w:rPr>
      </w:pPr>
    </w:p>
    <w:p w14:paraId="56376D8E" w14:textId="77777777" w:rsidR="00151ACA" w:rsidRDefault="00151ACA" w:rsidP="00151ACA">
      <w:pPr>
        <w:pStyle w:val="EndnoteText"/>
        <w:jc w:val="left"/>
        <w:rPr>
          <w:rFonts w:ascii="Garamond" w:hAnsi="Garamond"/>
        </w:rPr>
      </w:pPr>
    </w:p>
    <w:p w14:paraId="2772D075" w14:textId="77777777" w:rsidR="00827805" w:rsidRDefault="005728CB"/>
    <w:sectPr w:rsidR="00827805">
      <w:footerReference w:type="even" r:id="rId10"/>
      <w:footerReference w:type="default" r:id="rId11"/>
      <w:endnotePr>
        <w:numFmt w:val="decimal"/>
      </w:endnotePr>
      <w:pgSz w:w="12240" w:h="15840"/>
      <w:pgMar w:top="1440" w:right="1418" w:bottom="1440" w:left="1418"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bine" w:date="2016-09-28T10:29:00Z" w:initials="S">
    <w:p w14:paraId="22CDC45E" w14:textId="77777777" w:rsidR="00151ACA" w:rsidRDefault="00151ACA" w:rsidP="00151ACA">
      <w:pPr>
        <w:pStyle w:val="CommentText"/>
      </w:pPr>
      <w:r>
        <w:rPr>
          <w:rStyle w:val="CommentReference"/>
        </w:rPr>
        <w:annotationRef/>
      </w:r>
      <w:r>
        <w:t>Not in reference list. Please add? Source citation?</w:t>
      </w:r>
    </w:p>
  </w:comment>
  <w:comment w:id="3" w:author="Sabine" w:date="2016-09-28T10:29:00Z" w:initials="S">
    <w:p w14:paraId="4AF31706" w14:textId="77777777" w:rsidR="00151ACA" w:rsidRDefault="00151ACA" w:rsidP="00151ACA">
      <w:pPr>
        <w:pStyle w:val="CommentText"/>
      </w:pPr>
      <w:r>
        <w:rPr>
          <w:rStyle w:val="CommentReference"/>
        </w:rPr>
        <w:annotationRef/>
      </w:r>
      <w:r>
        <w:t>italics in source?</w:t>
      </w:r>
    </w:p>
  </w:comment>
  <w:comment w:id="5" w:author="Sabine" w:date="2016-09-28T10:29:00Z" w:initials="S">
    <w:p w14:paraId="6AC728F4" w14:textId="77777777" w:rsidR="00151ACA" w:rsidRDefault="00151ACA" w:rsidP="00151ACA">
      <w:pPr>
        <w:pStyle w:val="CommentText"/>
      </w:pPr>
      <w:r>
        <w:rPr>
          <w:rStyle w:val="CommentReference"/>
        </w:rPr>
        <w:annotationRef/>
      </w:r>
      <w:r>
        <w:t>Not in reference list. Please add? Source citation? page numbers?</w:t>
      </w:r>
    </w:p>
  </w:comment>
  <w:comment w:id="6" w:author="Sabine" w:date="2016-09-28T10:29:00Z" w:initials="S">
    <w:p w14:paraId="757B086E" w14:textId="77777777" w:rsidR="00151ACA" w:rsidRDefault="00151ACA" w:rsidP="00151ACA">
      <w:pPr>
        <w:pStyle w:val="CommentText"/>
      </w:pPr>
      <w:r>
        <w:rPr>
          <w:rStyle w:val="CommentReference"/>
        </w:rPr>
        <w:annotationRef/>
      </w:r>
      <w:r>
        <w:t>confusing. Change ok?</w:t>
      </w:r>
    </w:p>
  </w:comment>
  <w:comment w:id="7" w:author="Sabine" w:date="2016-09-28T10:29:00Z" w:initials="S">
    <w:p w14:paraId="0BFF6477" w14:textId="77777777" w:rsidR="00151ACA" w:rsidRDefault="00151ACA" w:rsidP="00151ACA">
      <w:pPr>
        <w:pStyle w:val="CommentText"/>
      </w:pPr>
      <w:r>
        <w:rPr>
          <w:rStyle w:val="CommentReference"/>
        </w:rPr>
        <w:annotationRef/>
      </w:r>
      <w:r>
        <w:t>page numbers?</w:t>
      </w:r>
    </w:p>
  </w:comment>
  <w:comment w:id="11" w:author="Sabine" w:date="2016-09-28T10:29:00Z" w:initials="S">
    <w:p w14:paraId="5FBDF07C" w14:textId="77777777" w:rsidR="00151ACA" w:rsidRDefault="00151ACA" w:rsidP="00151ACA">
      <w:pPr>
        <w:pStyle w:val="CommentText"/>
      </w:pPr>
      <w:r>
        <w:rPr>
          <w:rStyle w:val="CommentReference"/>
        </w:rPr>
        <w:annotationRef/>
      </w:r>
      <w:r>
        <w:t>Not in ref. list w/ that date. Dates must be the same. Pls. verify correct date and/or add/delete source.</w:t>
      </w:r>
    </w:p>
  </w:comment>
  <w:comment w:id="12" w:author="Sabine" w:date="2016-09-28T10:29:00Z" w:initials="S">
    <w:p w14:paraId="14BFBB49" w14:textId="77777777" w:rsidR="00151ACA" w:rsidRDefault="00151ACA" w:rsidP="00151ACA">
      <w:pPr>
        <w:pStyle w:val="CommentText"/>
      </w:pPr>
      <w:r>
        <w:rPr>
          <w:rStyle w:val="CommentReference"/>
        </w:rPr>
        <w:annotationRef/>
      </w:r>
      <w:r>
        <w:t>not really clear. Change ok?</w:t>
      </w:r>
    </w:p>
  </w:comment>
  <w:comment w:id="13" w:author="Sabine" w:date="2016-09-28T10:29:00Z" w:initials="S">
    <w:p w14:paraId="1A80AB20" w14:textId="77777777" w:rsidR="00151ACA" w:rsidRDefault="00151ACA" w:rsidP="00151ACA">
      <w:pPr>
        <w:pStyle w:val="CommentText"/>
      </w:pPr>
      <w:r>
        <w:rPr>
          <w:rStyle w:val="CommentReference"/>
        </w:rPr>
        <w:annotationRef/>
      </w:r>
      <w:r>
        <w:t xml:space="preserve">not clear why "unwelcome" -- isn't this your topic, so really welcome? Pls. reconsider? </w:t>
      </w:r>
    </w:p>
  </w:comment>
  <w:comment w:id="15" w:author="Sabine" w:date="2016-09-28T10:29:00Z" w:initials="S">
    <w:p w14:paraId="5531A8AA" w14:textId="77777777" w:rsidR="00151ACA" w:rsidRDefault="00151ACA" w:rsidP="00151ACA">
      <w:pPr>
        <w:pStyle w:val="CommentText"/>
      </w:pPr>
      <w:r>
        <w:rPr>
          <w:rStyle w:val="CommentReference"/>
        </w:rPr>
        <w:annotationRef/>
      </w:r>
      <w:r>
        <w:t xml:space="preserve">abbreviation must be spelled out at first occurrence. This was not introduced before. </w:t>
      </w:r>
    </w:p>
  </w:comment>
  <w:comment w:id="16" w:author="Sabine" w:date="2016-09-28T10:29:00Z" w:initials="S">
    <w:p w14:paraId="6D206AE1" w14:textId="77777777" w:rsidR="00151ACA" w:rsidRDefault="00151ACA" w:rsidP="00151ACA">
      <w:pPr>
        <w:pStyle w:val="CommentText"/>
      </w:pPr>
      <w:r>
        <w:rPr>
          <w:rStyle w:val="CommentReference"/>
        </w:rPr>
        <w:annotationRef/>
      </w:r>
      <w:r>
        <w:t>unclear what specific extrapolation you mean here. Pls. consider explaining?</w:t>
      </w:r>
    </w:p>
  </w:comment>
  <w:comment w:id="17" w:author="Sabine" w:date="2016-09-28T10:29:00Z" w:initials="S">
    <w:p w14:paraId="0FB133E0" w14:textId="77777777" w:rsidR="00151ACA" w:rsidRDefault="00151ACA" w:rsidP="00151ACA">
      <w:pPr>
        <w:pStyle w:val="CommentText"/>
      </w:pPr>
      <w:r>
        <w:rPr>
          <w:rStyle w:val="CommentReference"/>
        </w:rPr>
        <w:annotationRef/>
      </w:r>
      <w:r>
        <w:t xml:space="preserve">it seems much here is obvious or known to your readers -- it is "of course" as you say. Does it need to be mentioned at such length? </w:t>
      </w:r>
    </w:p>
  </w:comment>
  <w:comment w:id="18" w:author="Sabine" w:date="2016-09-28T10:29:00Z" w:initials="S">
    <w:p w14:paraId="1C1FCEDA" w14:textId="77777777" w:rsidR="00151ACA" w:rsidRDefault="00151ACA" w:rsidP="00151ACA">
      <w:pPr>
        <w:pStyle w:val="CommentText"/>
      </w:pPr>
      <w:r>
        <w:rPr>
          <w:rStyle w:val="CommentReference"/>
        </w:rPr>
        <w:annotationRef/>
      </w:r>
      <w:r>
        <w:t>Not in reference list. Please add? Source citation?</w:t>
      </w:r>
    </w:p>
  </w:comment>
  <w:comment w:id="19" w:author="Sabine" w:date="2016-09-28T10:29:00Z" w:initials="S">
    <w:p w14:paraId="0B4F36B3" w14:textId="77777777" w:rsidR="00151ACA" w:rsidRDefault="00151ACA" w:rsidP="00151ACA">
      <w:pPr>
        <w:pStyle w:val="CommentText"/>
      </w:pPr>
      <w:r>
        <w:rPr>
          <w:rStyle w:val="CommentReference"/>
        </w:rPr>
        <w:annotationRef/>
      </w:r>
      <w:r>
        <w:t>needs source citation.</w:t>
      </w:r>
    </w:p>
  </w:comment>
  <w:comment w:id="20" w:author="Sabine" w:date="2016-09-28T10:29:00Z" w:initials="S">
    <w:p w14:paraId="78F218A9" w14:textId="77777777" w:rsidR="00151ACA" w:rsidRDefault="00151ACA" w:rsidP="00151ACA">
      <w:pPr>
        <w:pStyle w:val="CommentText"/>
      </w:pPr>
      <w:r>
        <w:rPr>
          <w:rStyle w:val="CommentReference"/>
        </w:rPr>
        <w:annotationRef/>
      </w:r>
      <w:r>
        <w:t>source citation?</w:t>
      </w:r>
    </w:p>
  </w:comment>
  <w:comment w:id="21" w:author="Sabine" w:date="2016-09-28T10:29:00Z" w:initials="S">
    <w:p w14:paraId="7AA90EF7" w14:textId="77777777" w:rsidR="00151ACA" w:rsidRDefault="00151ACA" w:rsidP="00151ACA">
      <w:pPr>
        <w:pStyle w:val="CommentText"/>
      </w:pPr>
      <w:r>
        <w:rPr>
          <w:rStyle w:val="CommentReference"/>
        </w:rPr>
        <w:annotationRef/>
      </w:r>
      <w:r>
        <w:t xml:space="preserve">Not in reference list. Please add? </w:t>
      </w:r>
    </w:p>
  </w:comment>
  <w:comment w:id="22" w:author="Sabine" w:date="2016-09-28T10:29:00Z" w:initials="S">
    <w:p w14:paraId="42B0186F" w14:textId="77777777" w:rsidR="00151ACA" w:rsidRDefault="00151ACA" w:rsidP="00151ACA">
      <w:pPr>
        <w:pStyle w:val="CommentText"/>
      </w:pPr>
      <w:r>
        <w:rPr>
          <w:rStyle w:val="CommentReference"/>
        </w:rPr>
        <w:annotationRef/>
      </w:r>
      <w:r>
        <w:t>not really clear why such obvious and common items are listed at such length. Your readers will know these, right?</w:t>
      </w:r>
    </w:p>
  </w:comment>
  <w:comment w:id="23" w:author="Sabine" w:date="2016-09-28T16:39:00Z" w:initials="S">
    <w:p w14:paraId="78A63A28" w14:textId="77777777" w:rsidR="00151ACA" w:rsidRDefault="00151ACA" w:rsidP="00151ACA">
      <w:pPr>
        <w:pStyle w:val="CommentText"/>
      </w:pPr>
      <w:r>
        <w:rPr>
          <w:rStyle w:val="CommentReference"/>
        </w:rPr>
        <w:annotationRef/>
      </w:r>
      <w:r>
        <w:t>this is another footnote essentially directed to one reader only, but leading all away from your main argument and making it difficult to follow your argument. Shorten and integrate here, or delete? Pls. reconsider?</w:t>
      </w:r>
    </w:p>
  </w:comment>
  <w:comment w:id="24" w:author="Sabine" w:date="2016-09-28T10:29:00Z" w:initials="S">
    <w:p w14:paraId="1C11F696" w14:textId="77777777" w:rsidR="00151ACA" w:rsidRDefault="00151ACA" w:rsidP="00151ACA">
      <w:pPr>
        <w:pStyle w:val="CommentText"/>
      </w:pPr>
      <w:r>
        <w:rPr>
          <w:rStyle w:val="CommentReference"/>
        </w:rPr>
        <w:annotationRef/>
      </w:r>
      <w:r>
        <w:t xml:space="preserve">wouldn't it be better to say what you did aim at?  Shouldn't this have been made clear all along? </w:t>
      </w:r>
    </w:p>
  </w:comment>
  <w:comment w:id="25" w:author="Sabine" w:date="2016-09-28T16:39:00Z" w:initials="S">
    <w:p w14:paraId="782D9B40" w14:textId="77777777" w:rsidR="00151ACA" w:rsidRDefault="00151ACA" w:rsidP="00151ACA">
      <w:pPr>
        <w:pStyle w:val="CommentText"/>
      </w:pPr>
      <w:r>
        <w:rPr>
          <w:rStyle w:val="CommentReference"/>
        </w:rPr>
        <w:annotationRef/>
      </w:r>
      <w:r>
        <w:t xml:space="preserve">this sentence seems to </w:t>
      </w:r>
      <w:proofErr w:type="gramStart"/>
      <w:r>
        <w:t>add  nothing</w:t>
      </w:r>
      <w:proofErr w:type="gramEnd"/>
      <w:r>
        <w:t xml:space="preserve"> new and essentially repeats what the entire paragr. said. Change ok?</w:t>
      </w:r>
    </w:p>
  </w:comment>
  <w:comment w:id="26" w:author="Sabine" w:date="2016-09-28T10:29:00Z" w:initials="S">
    <w:p w14:paraId="08A9E063" w14:textId="77777777" w:rsidR="00151ACA" w:rsidRDefault="00151ACA" w:rsidP="00151ACA">
      <w:pPr>
        <w:pStyle w:val="CommentText"/>
      </w:pPr>
      <w:r>
        <w:rPr>
          <w:rStyle w:val="CommentReference"/>
        </w:rPr>
        <w:annotationRef/>
      </w:r>
      <w:r>
        <w:t xml:space="preserve">this is usually an unnumbered note on first page of article. Change ok? </w:t>
      </w:r>
    </w:p>
    <w:p w14:paraId="7811EC6F" w14:textId="77777777" w:rsidR="00151ACA" w:rsidRDefault="00151ACA" w:rsidP="00151ACA">
      <w:pPr>
        <w:pStyle w:val="CommentText"/>
      </w:pPr>
    </w:p>
    <w:p w14:paraId="62A8608C" w14:textId="77777777" w:rsidR="00151ACA" w:rsidRDefault="00151ACA" w:rsidP="00151ACA">
      <w:pPr>
        <w:pStyle w:val="CommentText"/>
      </w:pPr>
      <w:r>
        <w:t>OK</w:t>
      </w:r>
    </w:p>
  </w:comment>
  <w:comment w:id="27" w:author="Sabine" w:date="2016-09-28T10:29:00Z" w:initials="S">
    <w:p w14:paraId="708CCF5F" w14:textId="77777777" w:rsidR="00151ACA" w:rsidRDefault="00151ACA" w:rsidP="00151ACA">
      <w:pPr>
        <w:pStyle w:val="CommentText"/>
      </w:pPr>
      <w:r>
        <w:rPr>
          <w:rStyle w:val="CommentReference"/>
        </w:rPr>
        <w:annotationRef/>
      </w:r>
      <w:r>
        <w:t>TS: Please set as unnumbered footnote to precede all other footnotes on first page of article. Delete footnote number here.</w:t>
      </w:r>
    </w:p>
  </w:comment>
  <w:comment w:id="28" w:author="Sabine" w:date="2016-09-28T10:29:00Z" w:initials="S">
    <w:p w14:paraId="64FC5AA8" w14:textId="77777777" w:rsidR="00151ACA" w:rsidRDefault="00151ACA" w:rsidP="00151ACA">
      <w:pPr>
        <w:pStyle w:val="CommentText"/>
      </w:pPr>
      <w:r>
        <w:rPr>
          <w:rStyle w:val="CommentReference"/>
        </w:rPr>
        <w:annotationRef/>
      </w:r>
      <w:r>
        <w:t xml:space="preserve">unclear what kind of source this is. Confusing citation. Pls. check and provide full info. </w:t>
      </w:r>
    </w:p>
  </w:comment>
  <w:comment w:id="29" w:author="Sabine" w:date="2016-09-28T10:29:00Z" w:initials="S">
    <w:p w14:paraId="402ED5A5" w14:textId="77777777" w:rsidR="00151ACA" w:rsidRDefault="00151ACA" w:rsidP="00151ACA">
      <w:pPr>
        <w:pStyle w:val="CommentText"/>
      </w:pPr>
      <w:r>
        <w:rPr>
          <w:rStyle w:val="CommentReference"/>
        </w:rPr>
        <w:annotationRef/>
      </w:r>
      <w:r>
        <w:t xml:space="preserve">page numbers?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DC45E" w15:done="0"/>
  <w15:commentEx w15:paraId="4AF31706" w15:done="0"/>
  <w15:commentEx w15:paraId="6AC728F4" w15:done="0"/>
  <w15:commentEx w15:paraId="757B086E" w15:done="0"/>
  <w15:commentEx w15:paraId="0BFF6477" w15:done="0"/>
  <w15:commentEx w15:paraId="5FBDF07C" w15:done="0"/>
  <w15:commentEx w15:paraId="14BFBB49" w15:done="0"/>
  <w15:commentEx w15:paraId="1A80AB20" w15:done="0"/>
  <w15:commentEx w15:paraId="5531A8AA" w15:done="0"/>
  <w15:commentEx w15:paraId="6D206AE1" w15:done="0"/>
  <w15:commentEx w15:paraId="0FB133E0" w15:done="0"/>
  <w15:commentEx w15:paraId="1C1FCEDA" w15:done="0"/>
  <w15:commentEx w15:paraId="0B4F36B3" w15:done="0"/>
  <w15:commentEx w15:paraId="78F218A9" w15:done="0"/>
  <w15:commentEx w15:paraId="7AA90EF7" w15:done="0"/>
  <w15:commentEx w15:paraId="42B0186F" w15:done="0"/>
  <w15:commentEx w15:paraId="78A63A28" w15:done="0"/>
  <w15:commentEx w15:paraId="1C11F696" w15:done="0"/>
  <w15:commentEx w15:paraId="782D9B40" w15:done="0"/>
  <w15:commentEx w15:paraId="62A8608C" w15:done="0"/>
  <w15:commentEx w15:paraId="708CCF5F" w15:done="0"/>
  <w15:commentEx w15:paraId="64FC5AA8" w15:done="0"/>
  <w15:commentEx w15:paraId="402ED5A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8C184" w14:textId="77777777" w:rsidR="005728CB" w:rsidRDefault="005728CB" w:rsidP="00151ACA">
      <w:pPr>
        <w:spacing w:before="0" w:after="0"/>
      </w:pPr>
      <w:r>
        <w:separator/>
      </w:r>
    </w:p>
  </w:endnote>
  <w:endnote w:type="continuationSeparator" w:id="0">
    <w:p w14:paraId="64D588E7" w14:textId="77777777" w:rsidR="005728CB" w:rsidRDefault="005728CB" w:rsidP="00151A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29DDE" w14:textId="77777777" w:rsidR="0089468F" w:rsidRDefault="005728C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6EF9C9" w14:textId="77777777" w:rsidR="0089468F" w:rsidRDefault="005728CB">
    <w:pPr>
      <w:pStyle w:val="Footer"/>
    </w:pPr>
  </w:p>
  <w:p w14:paraId="5E7146F8" w14:textId="77777777" w:rsidR="0089468F" w:rsidRDefault="005728C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8D5A" w14:textId="77777777" w:rsidR="0089468F" w:rsidRDefault="005728CB">
    <w:pPr>
      <w:pStyle w:val="Footer"/>
      <w:jc w:val="center"/>
      <w:rPr>
        <w:rStyle w:val="PageNumber"/>
      </w:rPr>
    </w:pPr>
  </w:p>
  <w:p w14:paraId="78D5A7A8" w14:textId="77777777" w:rsidR="0089468F" w:rsidRDefault="005728CB">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7222F">
      <w:rPr>
        <w:rStyle w:val="PageNumber"/>
        <w:noProof/>
      </w:rPr>
      <w:t>2</w:t>
    </w:r>
    <w:r>
      <w:rPr>
        <w:rStyle w:val="PageNumber"/>
      </w:rPr>
      <w:fldChar w:fldCharType="end"/>
    </w:r>
  </w:p>
  <w:p w14:paraId="378DE2E0" w14:textId="77777777" w:rsidR="0089468F" w:rsidRDefault="005728CB">
    <w:pPr>
      <w:pStyle w:val="Footer"/>
    </w:pPr>
  </w:p>
  <w:p w14:paraId="5945752E" w14:textId="77777777" w:rsidR="0089468F" w:rsidRDefault="005728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4F381" w14:textId="77777777" w:rsidR="005728CB" w:rsidRDefault="005728CB" w:rsidP="00151ACA">
      <w:pPr>
        <w:spacing w:before="0" w:after="0"/>
      </w:pPr>
      <w:r>
        <w:separator/>
      </w:r>
    </w:p>
  </w:footnote>
  <w:footnote w:type="continuationSeparator" w:id="0">
    <w:p w14:paraId="74F10ED9" w14:textId="77777777" w:rsidR="005728CB" w:rsidRDefault="005728CB" w:rsidP="00151ACA">
      <w:pPr>
        <w:spacing w:before="0" w:after="0"/>
      </w:pPr>
      <w:r>
        <w:continuationSeparator/>
      </w:r>
    </w:p>
  </w:footnote>
  <w:footnote w:id="1">
    <w:p w14:paraId="0325C249" w14:textId="77777777" w:rsidR="00151ACA" w:rsidRPr="00151ACA" w:rsidRDefault="00151ACA">
      <w:pPr>
        <w:pStyle w:val="FootnoteText"/>
        <w:rPr>
          <w:rFonts w:ascii="Garamond" w:hAnsi="Garamond"/>
          <w:sz w:val="22"/>
          <w:szCs w:val="22"/>
          <w:lang w:val="en-GB"/>
        </w:rPr>
      </w:pPr>
      <w:r w:rsidRPr="00151ACA">
        <w:rPr>
          <w:rStyle w:val="FootnoteReference"/>
          <w:rFonts w:ascii="Garamond" w:hAnsi="Garamond"/>
          <w:sz w:val="22"/>
          <w:szCs w:val="22"/>
        </w:rPr>
        <w:footnoteRef/>
      </w:r>
      <w:r w:rsidRPr="00151ACA">
        <w:rPr>
          <w:rFonts w:ascii="Garamond" w:hAnsi="Garamond"/>
          <w:sz w:val="22"/>
          <w:szCs w:val="22"/>
        </w:rPr>
        <w:t xml:space="preserve"> </w:t>
      </w:r>
      <w:r w:rsidRPr="00151ACA">
        <w:rPr>
          <w:rFonts w:ascii="Garamond" w:hAnsi="Garamond"/>
          <w:sz w:val="22"/>
          <w:szCs w:val="22"/>
          <w:lang w:val="en-GB"/>
        </w:rPr>
        <w:t xml:space="preserve">Authors names appear in alphabetical order. </w:t>
      </w:r>
    </w:p>
  </w:footnote>
  <w:footnote w:id="2">
    <w:p w14:paraId="5A9B28A2"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Two contemporary strands of research clustering around this question engage with slightly different aspects of it. On the one hand, philosophy of mind and cognitive science (e.g., Clark and Chalmers 1998; Clark 2010) focuses on the metaphysical status of our gadgets: for example, could information stored in our gadgets qualify as part of our minds, literally speaking? An affirmative answer to this question has been labeled the ‘extended mind thesis’ (e.g., Clark and Chalmers 1998). On the other hand, bioethics focuses on the ethics of human enhancement (e.g., Bostrom and Savulescu 2009) exploring the normative dimensions of the phenomenon: for example, is intelligence augmentation a good thing and under what forms? </w:t>
      </w:r>
    </w:p>
  </w:footnote>
  <w:footnote w:id="3">
    <w:p w14:paraId="0D72BEF3"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The present discussion of harm will not turn on any substantive claim about how to distinguish doing versus allowing harm; for discussion on this point, see Howard-Snyder [2011]).</w:t>
      </w:r>
    </w:p>
  </w:footnote>
  <w:footnote w:id="4">
    <w:p w14:paraId="06143092" w14:textId="77777777" w:rsidR="00151ACA" w:rsidRDefault="00151ACA" w:rsidP="00151ACA">
      <w:pPr>
        <w:pStyle w:val="FootnoteText"/>
        <w:spacing w:line="360" w:lineRule="auto"/>
        <w:jc w:val="left"/>
        <w:rPr>
          <w:rFonts w:ascii="Garamond" w:hAnsi="Garamond"/>
          <w:sz w:val="22"/>
          <w:szCs w:val="22"/>
        </w:rPr>
      </w:pPr>
      <w:r>
        <w:rPr>
          <w:rStyle w:val="FootnoteRef"/>
          <w:rFonts w:ascii="Garamond" w:hAnsi="Garamond"/>
          <w:sz w:val="22"/>
          <w:szCs w:val="22"/>
        </w:rPr>
        <w:footnoteRef/>
      </w:r>
      <w:r>
        <w:rPr>
          <w:rFonts w:ascii="Garamond" w:hAnsi="Garamond"/>
          <w:sz w:val="22"/>
          <w:szCs w:val="22"/>
        </w:rPr>
        <w:t xml:space="preserve">John Locke’s political philosophy in </w:t>
      </w:r>
      <w:r>
        <w:rPr>
          <w:rFonts w:ascii="Garamond" w:hAnsi="Garamond"/>
          <w:i/>
          <w:sz w:val="22"/>
          <w:szCs w:val="22"/>
        </w:rPr>
        <w:t>Two Treatises of Government</w:t>
      </w:r>
      <w:r>
        <w:rPr>
          <w:rFonts w:ascii="Garamond" w:hAnsi="Garamond"/>
          <w:sz w:val="22"/>
          <w:szCs w:val="22"/>
        </w:rPr>
        <w:t xml:space="preserve"> is famously derived from the principle of self-ownership, which features as well in the 13th Amendment to the United States Constitution. </w:t>
      </w:r>
    </w:p>
  </w:footnote>
  <w:footnote w:id="5">
    <w:p w14:paraId="4F97FEAB"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The violation of one’s bodily integrity through intended force is protected against by both the UN General Assembly’s Universal Declaration of Human Rights and the International Covenant on Civil and Political Rights.</w:t>
      </w:r>
    </w:p>
  </w:footnote>
  <w:footnote w:id="6">
    <w:p w14:paraId="1511D7B7" w14:textId="77777777" w:rsidR="00151ACA" w:rsidRDefault="00151ACA" w:rsidP="00151ACA">
      <w:pPr>
        <w:pStyle w:val="FootnoteText"/>
        <w:spacing w:line="360" w:lineRule="auto"/>
        <w:jc w:val="left"/>
        <w:rPr>
          <w:rFonts w:ascii="Baskerville" w:hAnsi="Baskerville"/>
          <w:sz w:val="22"/>
          <w:szCs w:val="22"/>
        </w:rPr>
      </w:pPr>
      <w:r>
        <w:rPr>
          <w:rStyle w:val="FootnoteReference"/>
          <w:rFonts w:ascii="Garamond" w:hAnsi="Garamond"/>
          <w:sz w:val="22"/>
          <w:szCs w:val="22"/>
        </w:rPr>
        <w:footnoteRef/>
      </w:r>
      <w:r>
        <w:rPr>
          <w:rFonts w:ascii="Garamond" w:hAnsi="Garamond"/>
          <w:sz w:val="22"/>
          <w:szCs w:val="22"/>
        </w:rPr>
        <w:t xml:space="preserve"> Even though the above quote points only to what is outside the agent’s control, Taylor's work clearly indicates that by that he also means what could lie even outside the agent’s organism. See, for example, Taylor’s treatise on personhood: </w:t>
      </w:r>
      <w:r>
        <w:rPr>
          <w:rFonts w:ascii="Garamond" w:hAnsi="Garamond"/>
          <w:i/>
          <w:sz w:val="22"/>
          <w:szCs w:val="22"/>
        </w:rPr>
        <w:t>Sources of the Self</w:t>
      </w:r>
      <w:r>
        <w:rPr>
          <w:rFonts w:ascii="Garamond" w:hAnsi="Garamond"/>
          <w:sz w:val="22"/>
          <w:szCs w:val="22"/>
        </w:rPr>
        <w:t xml:space="preserve"> (1989 &lt;&lt;Not in reference list. Please add?&gt;&gt;, e.g., p. 34). Cf. Lynne Rudder Baker (2000) for another expression of the idea that personhood and the biological organism can come apart. </w:t>
      </w:r>
    </w:p>
  </w:footnote>
  <w:footnote w:id="7">
    <w:p w14:paraId="688D490A" w14:textId="77777777" w:rsidR="00151ACA" w:rsidRDefault="00151ACA" w:rsidP="00151ACA">
      <w:pPr>
        <w:pStyle w:val="FootnoteText"/>
        <w:spacing w:line="360" w:lineRule="auto"/>
        <w:jc w:val="left"/>
        <w:rPr>
          <w:rFonts w:ascii="Garamond" w:hAnsi="Garamond"/>
          <w:sz w:val="22"/>
          <w:szCs w:val="22"/>
        </w:rPr>
      </w:pPr>
      <w:r>
        <w:rPr>
          <w:rStyle w:val="FootnoteRef"/>
          <w:rFonts w:ascii="Garamond" w:hAnsi="Garamond"/>
          <w:sz w:val="22"/>
          <w:szCs w:val="22"/>
        </w:rPr>
        <w:footnoteRef/>
      </w:r>
      <w:r>
        <w:rPr>
          <w:rFonts w:ascii="Garamond" w:hAnsi="Garamond"/>
          <w:sz w:val="22"/>
          <w:szCs w:val="22"/>
        </w:rPr>
        <w:t xml:space="preserve">As John Christman (2015) notes, for example, we can’t reflect on our own values and goals without language, and yet language is itself a social product. For this reason, it’s a mistake, as Christman puts it, to ‘say that we are autonomous (and hence morally responsible, bear moral rights, etc.) only when we can step back from all such connections and critically appraise and possibly alter them flies in the face of these psychological and metaphysical realities’ (2015: §3.2). </w:t>
      </w:r>
    </w:p>
  </w:footnote>
  <w:footnote w:id="8">
    <w:p w14:paraId="0F38025E"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One line of resistance here, suggested by an anonymous referee, proceeds as follows: </w:t>
      </w:r>
      <w:r>
        <w:rPr>
          <w:rFonts w:ascii="Garamond" w:hAnsi="Garamond"/>
          <w:i/>
          <w:sz w:val="22"/>
          <w:szCs w:val="22"/>
        </w:rPr>
        <w:t>personal</w:t>
      </w:r>
      <w:r>
        <w:rPr>
          <w:rFonts w:ascii="Garamond" w:hAnsi="Garamond"/>
          <w:sz w:val="22"/>
          <w:szCs w:val="22"/>
        </w:rPr>
        <w:t xml:space="preserve"> harm is a special category of offence in part because persons are phenomenally conscious (‘sentient’) creatures capable of experiencing pain, and normally, if someone damages part of another’s biological body, that individual is pained by the damage. Absent a further argument for extended consciousness that could in turn ground extended sentience, an ‘asymmetry’ remains (considerations against the possibility of extended consciousness can be found in Clark [2009]; for an interesting argument in its support, see Kiverstein and Farina [2012]). Note, however, that intentionally caused pain is not </w:t>
      </w:r>
      <w:r>
        <w:rPr>
          <w:rFonts w:ascii="Garamond" w:hAnsi="Garamond"/>
          <w:i/>
          <w:sz w:val="22"/>
          <w:szCs w:val="22"/>
        </w:rPr>
        <w:t>essential</w:t>
      </w:r>
      <w:r>
        <w:rPr>
          <w:rFonts w:ascii="Garamond" w:hAnsi="Garamond"/>
          <w:sz w:val="22"/>
          <w:szCs w:val="22"/>
        </w:rPr>
        <w:t xml:space="preserve"> to personal harm; rather, it is merely a typical sufficient condition for it. For example, sexual crimes committed against </w:t>
      </w:r>
      <w:r>
        <w:rPr>
          <w:rFonts w:ascii="Garamond" w:hAnsi="Garamond"/>
          <w:i/>
          <w:sz w:val="22"/>
          <w:szCs w:val="22"/>
        </w:rPr>
        <w:t>unconscious</w:t>
      </w:r>
      <w:r>
        <w:rPr>
          <w:rFonts w:ascii="Garamond" w:hAnsi="Garamond"/>
          <w:sz w:val="22"/>
          <w:szCs w:val="22"/>
        </w:rPr>
        <w:t xml:space="preserve"> victims are paradigmatic cases of personal harm that are categorized as assault. We thus are inclined to deny the premise that the phenomenology of extended assault must mimic the phenomenology of harm to one’s physical body and argue that the phenomenology of harm to one’s extended parts is on a par with the phenomenology of harm to one’s biological parts. </w:t>
      </w:r>
    </w:p>
  </w:footnote>
  <w:footnote w:id="9">
    <w:p w14:paraId="72BF7BAE" w14:textId="77777777" w:rsidR="00151ACA" w:rsidRPr="00B452B9" w:rsidRDefault="00151ACA" w:rsidP="00151ACA">
      <w:pPr>
        <w:pStyle w:val="FootnoteText"/>
        <w:spacing w:line="360" w:lineRule="auto"/>
        <w:jc w:val="left"/>
        <w:rPr>
          <w:rFonts w:ascii="Garamond" w:hAnsi="Garamond"/>
          <w:sz w:val="22"/>
          <w:szCs w:val="22"/>
        </w:rPr>
      </w:pPr>
      <w:r w:rsidRPr="00B452B9">
        <w:rPr>
          <w:rStyle w:val="FootnoteReference"/>
          <w:rFonts w:ascii="Garamond" w:hAnsi="Garamond"/>
          <w:sz w:val="22"/>
          <w:szCs w:val="22"/>
        </w:rPr>
        <w:footnoteRef/>
      </w:r>
      <w:r w:rsidRPr="00B452B9">
        <w:rPr>
          <w:rFonts w:ascii="Garamond" w:hAnsi="Garamond"/>
          <w:sz w:val="22"/>
          <w:szCs w:val="22"/>
        </w:rPr>
        <w:t xml:space="preserve"> Several theorists have commented on the affinity between functionalist approaches to philosophy of mind and the hypothesis of extended cognition. Consider Weiskopf (2008), for example, who submits that ‘functionalism has all along been committed to the possibility of extra-bodily states playing the role of beliefs and desires’ (267). See also Sprevak (2009) and Wheeler (2010). </w:t>
      </w:r>
    </w:p>
  </w:footnote>
  <w:footnote w:id="10">
    <w:p w14:paraId="36F8B082"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Which is not to say that the view is without its critics. For a number of objections see (Rupert 2004) and Adams and Aizawa 2008). For a short discussion and reply to Rupert’s, Adam’s and Aizawa’s objections, see Menary (2006). </w:t>
      </w:r>
    </w:p>
  </w:footnote>
  <w:footnote w:id="11">
    <w:p w14:paraId="7D982D16"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For more details on how dynamical systems theory can help distinguish between the hypothesis of extended cognition and the hypothesis of embedded cognition, see Palermos (2014).</w:t>
      </w:r>
    </w:p>
  </w:footnote>
  <w:footnote w:id="12">
    <w:p w14:paraId="5206983B" w14:textId="77777777" w:rsidR="00151ACA" w:rsidRDefault="00151ACA" w:rsidP="00151ACA">
      <w:pPr>
        <w:pStyle w:val="FootnoteText"/>
        <w:spacing w:line="360" w:lineRule="auto"/>
        <w:jc w:val="left"/>
        <w:rPr>
          <w:rFonts w:ascii="Baskerville" w:hAnsi="Baskerville"/>
          <w:sz w:val="22"/>
          <w:szCs w:val="22"/>
        </w:rPr>
      </w:pPr>
      <w:r>
        <w:rPr>
          <w:rStyle w:val="FootnoteReference"/>
          <w:rFonts w:ascii="Baskerville" w:hAnsi="Baskerville"/>
          <w:sz w:val="22"/>
          <w:szCs w:val="22"/>
        </w:rPr>
        <w:footnoteRef/>
      </w:r>
      <w:r>
        <w:rPr>
          <w:rFonts w:ascii="Baskerville" w:hAnsi="Baskerville"/>
          <w:sz w:val="22"/>
          <w:szCs w:val="22"/>
        </w:rPr>
        <w:t xml:space="preserve"> Notice that the ‘continuous and reciprocal interactions’ criterion on cognitive extension does not distinguish between low-tech and high-tech cases. As indicated in the main text, while shopping lists may be excluded, low-tech cases, such as using pen and paper to solve a mathematical problem or a blind man’s cane, would qualify as cases of cognitive extension. One interesting question, however, concerns the case of the Alzheimer’s patient, Otto, and his notebook (Clark and Chalmers 1998), which is used in order to store and retrieve information that would otherwise be stored in Otto’s biological memory. This is one of the typical examples of cognitive extension presented in the literature, but given that writing information in one’s notebook is similar to writing shopping lists, it appears that the suggested criterion of ‘continuous and reciprocal interactions’ may exclude this well-known example. We want to suggest that it all depends on how we read the example. If we imagine Otto as being very well trained and organized, constantly having his notebook open, going back and forth over its pages, looking up its contents as well as taking notes about almost every single detail that would normally be registered in his biological memory, then he does continuously and mutually interact with his notebook such that, in light of DST, this would count as a case of cognitive extension. </w:t>
      </w:r>
    </w:p>
  </w:footnote>
  <w:footnote w:id="13">
    <w:p w14:paraId="620AF75B"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A much earlier example, from ancient Crete, involves the use of a </w:t>
      </w:r>
      <w:r>
        <w:rPr>
          <w:rFonts w:ascii="Garamond" w:hAnsi="Garamond"/>
          <w:i/>
          <w:sz w:val="22"/>
          <w:szCs w:val="22"/>
        </w:rPr>
        <w:t>Mn</w:t>
      </w:r>
      <w:r>
        <w:rPr>
          <w:rFonts w:ascii="Times New Roman" w:hAnsi="Times New Roman" w:cs="Times New Roman"/>
          <w:i/>
          <w:sz w:val="22"/>
          <w:szCs w:val="22"/>
        </w:rPr>
        <w:t>ē</w:t>
      </w:r>
      <w:r>
        <w:rPr>
          <w:rFonts w:ascii="Garamond" w:hAnsi="Garamond"/>
          <w:i/>
          <w:sz w:val="22"/>
          <w:szCs w:val="22"/>
        </w:rPr>
        <w:t>m</w:t>
      </w:r>
      <w:r>
        <w:rPr>
          <w:rFonts w:ascii="Times New Roman" w:hAnsi="Times New Roman" w:cs="Times New Roman"/>
          <w:i/>
          <w:sz w:val="22"/>
          <w:szCs w:val="22"/>
        </w:rPr>
        <w:t>ō</w:t>
      </w:r>
      <w:r>
        <w:rPr>
          <w:rFonts w:ascii="Garamond" w:hAnsi="Garamond"/>
          <w:i/>
          <w:sz w:val="22"/>
          <w:szCs w:val="22"/>
        </w:rPr>
        <w:t>n</w:t>
      </w:r>
      <w:r>
        <w:rPr>
          <w:rFonts w:ascii="Garamond" w:hAnsi="Garamond"/>
          <w:sz w:val="22"/>
          <w:szCs w:val="22"/>
        </w:rPr>
        <w:t>, or ‘rememberer’, who would play the role of a scribe (</w:t>
      </w:r>
      <w:r>
        <w:rPr>
          <w:rFonts w:ascii="Garamond" w:hAnsi="Garamond"/>
          <w:i/>
          <w:sz w:val="22"/>
          <w:szCs w:val="22"/>
        </w:rPr>
        <w:t>poinikastas</w:t>
      </w:r>
      <w:r>
        <w:rPr>
          <w:rFonts w:ascii="Garamond" w:hAnsi="Garamond"/>
          <w:sz w:val="22"/>
          <w:szCs w:val="22"/>
        </w:rPr>
        <w:t xml:space="preserve">) for another individual. However, this falls within the bounds of a </w:t>
      </w:r>
      <w:r>
        <w:rPr>
          <w:rFonts w:ascii="Garamond" w:hAnsi="Garamond"/>
          <w:i/>
          <w:sz w:val="22"/>
          <w:szCs w:val="22"/>
        </w:rPr>
        <w:t>distributed</w:t>
      </w:r>
      <w:r>
        <w:rPr>
          <w:rFonts w:ascii="Garamond" w:hAnsi="Garamond"/>
          <w:sz w:val="22"/>
          <w:szCs w:val="22"/>
        </w:rPr>
        <w:t xml:space="preserve"> cognitive system or perhaps a transactive memory system as opposed to an ordinary case of extended cognition. For discussion of early cases of such use of </w:t>
      </w:r>
      <w:r>
        <w:rPr>
          <w:rFonts w:ascii="Garamond" w:hAnsi="Garamond"/>
          <w:i/>
          <w:sz w:val="22"/>
          <w:szCs w:val="22"/>
        </w:rPr>
        <w:t>Mn</w:t>
      </w:r>
      <w:r>
        <w:rPr>
          <w:rFonts w:ascii="Times New Roman" w:hAnsi="Times New Roman" w:cs="Times New Roman"/>
          <w:i/>
          <w:sz w:val="22"/>
          <w:szCs w:val="22"/>
        </w:rPr>
        <w:t>ē</w:t>
      </w:r>
      <w:r>
        <w:rPr>
          <w:rFonts w:ascii="Garamond" w:hAnsi="Garamond"/>
          <w:i/>
          <w:sz w:val="22"/>
          <w:szCs w:val="22"/>
        </w:rPr>
        <w:t>m</w:t>
      </w:r>
      <w:r>
        <w:rPr>
          <w:rFonts w:ascii="Times New Roman" w:hAnsi="Times New Roman" w:cs="Times New Roman"/>
          <w:i/>
          <w:sz w:val="22"/>
          <w:szCs w:val="22"/>
        </w:rPr>
        <w:t>ō</w:t>
      </w:r>
      <w:r>
        <w:rPr>
          <w:rFonts w:ascii="Garamond" w:hAnsi="Garamond"/>
          <w:i/>
          <w:sz w:val="22"/>
          <w:szCs w:val="22"/>
        </w:rPr>
        <w:t>n</w:t>
      </w:r>
      <w:r>
        <w:rPr>
          <w:rFonts w:ascii="Garamond" w:hAnsi="Garamond"/>
          <w:sz w:val="22"/>
          <w:szCs w:val="22"/>
        </w:rPr>
        <w:t xml:space="preserve"> scribes, see Robb (1994). </w:t>
      </w:r>
    </w:p>
  </w:footnote>
  <w:footnote w:id="14">
    <w:p w14:paraId="59C05BC9"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 xml:space="preserve">See Lynch [2016] and a review of </w:t>
      </w:r>
      <w:r>
        <w:rPr>
          <w:rFonts w:ascii="Garamond" w:hAnsi="Garamond"/>
        </w:rPr>
        <w:fldChar w:fldCharType="begin"/>
      </w:r>
      <w:r>
        <w:rPr>
          <w:rFonts w:ascii="Garamond" w:hAnsi="Garamond"/>
        </w:rPr>
        <w:instrText xml:space="preserve"> ADDIN ZOTERO_ITEM CSL_CITATION {"citationID":"Qe2Zifsr","properties":{"formattedCitation":"(Bostrom and Sandberg 2009)","plainCitation":"(Bostrom and Sandberg 2009)"},"citationItems":[{"id":679,"uris":["http://zotero.org/users/1941972/items/H2JNWKQV"],"uri":["http://zotero.org/users/1941972/items/H2JNWKQV"],"itemData":{"id":679,"type":"chapter","title":"The wisdom of nature: an evolutionary heuristic for human enhancement","container-title":"Human Enhancement","publisher":"Oup Oxford","page":"375--416","author":[{"family":"Bostrom","given":"Nick"},{"family":"Sandberg","given":"Anders"}],"editor":[{"family":"Savulescu","given":"Julian"},{"family":"Bostrom","given":"Nick"}],"issued":{"date-parts":[["2009"]]}}}],"schema":"https://github.com/citation-style-language/schema/raw/master/csl-citation.json"} </w:instrText>
      </w:r>
      <w:r>
        <w:rPr>
          <w:rFonts w:ascii="Garamond" w:hAnsi="Garamond"/>
        </w:rPr>
        <w:fldChar w:fldCharType="separate"/>
      </w:r>
      <w:r>
        <w:rPr>
          <w:rFonts w:ascii="Garamond" w:hAnsi="Garamond"/>
        </w:rPr>
        <w:t>Bostrom and Sandberg [2009]</w:t>
      </w:r>
      <w:r>
        <w:rPr>
          <w:rFonts w:ascii="Garamond" w:hAnsi="Garamond"/>
        </w:rPr>
        <w:fldChar w:fldCharType="end"/>
      </w:r>
      <w:r>
        <w:rPr>
          <w:rStyle w:val="CommentReference"/>
        </w:rPr>
        <w:annotationRef/>
      </w:r>
      <w:r>
        <w:rPr>
          <w:rFonts w:ascii="Garamond" w:hAnsi="Garamond"/>
        </w:rPr>
        <w:t xml:space="preserve"> for discussion of some of the latest intelligence augmentation possibilities.</w:t>
      </w:r>
    </w:p>
  </w:footnote>
  <w:footnote w:id="15">
    <w:p w14:paraId="438E2648"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 xml:space="preserve">See </w:t>
      </w:r>
      <w:hyperlink r:id="rId1" w:history="1">
        <w:r>
          <w:rPr>
            <w:rStyle w:val="Hyperlink"/>
            <w:rFonts w:ascii="Garamond" w:hAnsi="Garamond"/>
          </w:rPr>
          <w:t>http://www.natlawreview.com/article/landmark-supreme-court-ruling-protects-cell-phones-warrantless-searches</w:t>
        </w:r>
      </w:hyperlink>
      <w:r>
        <w:rPr>
          <w:rFonts w:ascii="Garamond" w:hAnsi="Garamond"/>
        </w:rPr>
        <w:t xml:space="preserve"> and for the court’s official opinion, see </w:t>
      </w:r>
      <w:hyperlink r:id="rId2" w:history="1">
        <w:r>
          <w:rPr>
            <w:rStyle w:val="Hyperlink"/>
            <w:rFonts w:ascii="Garamond" w:hAnsi="Garamond"/>
          </w:rPr>
          <w:t>http://www.supremecourt.gov/opinions/13pdf/13-132_8l9c.pdf</w:t>
        </w:r>
      </w:hyperlink>
      <w:r>
        <w:rPr>
          <w:rFonts w:ascii="Garamond" w:hAnsi="Garamond"/>
          <w:i/>
          <w:iCs/>
        </w:rPr>
        <w:t>.</w:t>
      </w:r>
    </w:p>
  </w:footnote>
  <w:footnote w:id="16">
    <w:p w14:paraId="3F5F6016"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bCs/>
        </w:rPr>
        <w:t xml:space="preserve">For an overview of SITA precedent in US law, see </w:t>
      </w:r>
      <w:hyperlink r:id="rId3" w:history="1">
        <w:r>
          <w:rPr>
            <w:rStyle w:val="Hyperlink"/>
            <w:rFonts w:ascii="Garamond" w:hAnsi="Garamond"/>
            <w:bCs/>
          </w:rPr>
          <w:t>http://law.justia.com/constitution/us/amendment-04/14-search-incident-to-arrest.html</w:t>
        </w:r>
      </w:hyperlink>
      <w:r>
        <w:rPr>
          <w:rFonts w:ascii="Garamond" w:hAnsi="Garamond"/>
        </w:rPr>
        <w:t>.</w:t>
      </w:r>
    </w:p>
  </w:footnote>
  <w:footnote w:id="17">
    <w:p w14:paraId="48F61438" w14:textId="77777777" w:rsidR="00151ACA" w:rsidRPr="00B452B9" w:rsidRDefault="00151ACA" w:rsidP="00151ACA">
      <w:pPr>
        <w:pStyle w:val="FootnoteText"/>
        <w:rPr>
          <w:lang w:val="en-GB"/>
        </w:rPr>
      </w:pPr>
      <w:r>
        <w:rPr>
          <w:rStyle w:val="FootnoteReference"/>
        </w:rPr>
        <w:footnoteRef/>
      </w:r>
      <w:r>
        <w:t xml:space="preserve"> </w:t>
      </w:r>
      <w:r>
        <w:rPr>
          <w:rFonts w:ascii="Garamond" w:hAnsi="Garamond"/>
        </w:rPr>
        <w:t>As Clark [2010b</w:t>
      </w:r>
      <w:r>
        <w:rPr>
          <w:rStyle w:val="CommentReference"/>
        </w:rPr>
        <w:annotationRef/>
      </w:r>
      <w:r>
        <w:rPr>
          <w:rFonts w:ascii="Garamond" w:hAnsi="Garamond"/>
        </w:rPr>
        <w:t>] remarks, one who satisfies integration conditions by using a notebook to compensate for failing biological memory ‘is so used to using the book that he accesses it automatically when bio-memory fails. It is transparent equipment for him just as biological memory [would be</w:t>
      </w:r>
      <w:r>
        <w:rPr>
          <w:rStyle w:val="CommentReference"/>
        </w:rPr>
        <w:annotationRef/>
      </w:r>
      <w:r>
        <w:rPr>
          <w:rFonts w:ascii="Garamond" w:hAnsi="Garamond"/>
        </w:rPr>
        <w:t>]’.)</w:t>
      </w:r>
    </w:p>
  </w:footnote>
  <w:footnote w:id="18">
    <w:p w14:paraId="23727539" w14:textId="77777777" w:rsidR="00151ACA" w:rsidRPr="00B452B9" w:rsidRDefault="00151ACA" w:rsidP="00151ACA">
      <w:pPr>
        <w:pStyle w:val="FootnoteText"/>
        <w:rPr>
          <w:lang w:val="en-GB"/>
        </w:rPr>
      </w:pPr>
      <w:r>
        <w:rPr>
          <w:rStyle w:val="FootnoteReference"/>
        </w:rPr>
        <w:footnoteRef/>
      </w:r>
      <w:r>
        <w:rPr>
          <w:rFonts w:ascii="Garamond" w:hAnsi="Garamond"/>
        </w:rPr>
        <w:t xml:space="preserve">For more about Harbisson, see his TED talk here: </w:t>
      </w:r>
      <w:hyperlink r:id="rId4" w:anchor="t=49">
        <w:r>
          <w:rPr>
            <w:rStyle w:val="Hyperlink"/>
            <w:rFonts w:ascii="Garamond" w:hAnsi="Garamond"/>
          </w:rPr>
          <w:t>https://www.youtube.com/watch?v=ygRNoieAnzI#t=49</w:t>
        </w:r>
      </w:hyperlink>
      <w:r>
        <w:rPr>
          <w:rFonts w:ascii="Garamond" w:hAnsi="Garamond"/>
        </w:rPr>
        <w:t>).</w:t>
      </w:r>
    </w:p>
  </w:footnote>
  <w:footnote w:id="19">
    <w:p w14:paraId="7907CD1E" w14:textId="77777777" w:rsidR="00151ACA" w:rsidRPr="00B452B9" w:rsidRDefault="00151ACA" w:rsidP="00151ACA">
      <w:pPr>
        <w:pStyle w:val="FootnoteText"/>
        <w:jc w:val="left"/>
        <w:rPr>
          <w:lang w:val="en-GB"/>
        </w:rPr>
      </w:pPr>
      <w:r>
        <w:rPr>
          <w:rStyle w:val="FootnoteReference"/>
        </w:rPr>
        <w:footnoteRef/>
      </w:r>
      <w:r>
        <w:rPr>
          <w:rFonts w:ascii="Garamond" w:hAnsi="Garamond"/>
        </w:rPr>
        <w:t xml:space="preserve">(See </w:t>
      </w:r>
      <w:hyperlink r:id="rId5">
        <w:r>
          <w:rPr>
            <w:rStyle w:val="Hyperlink"/>
            <w:rFonts w:ascii="Garamond" w:hAnsi="Garamond"/>
          </w:rPr>
          <w:t>http://www.bbc.co.uk/news/magazine-16681630</w:t>
        </w:r>
      </w:hyperlink>
      <w:r>
        <w:rPr>
          <w:rFonts w:ascii="Garamond" w:hAnsi="Garamond"/>
        </w:rPr>
        <w:t xml:space="preserve">, and </w:t>
      </w:r>
      <w:hyperlink r:id="rId6" w:history="1">
        <w:r>
          <w:rPr>
            <w:rStyle w:val="Hyperlink"/>
            <w:rFonts w:ascii="Garamond" w:hAnsi="Garamond"/>
          </w:rPr>
          <w:t>http://www.theguardian.com/artanddesign/2014/may/06/neil-harbisson-worlds-first-cyborg-artist</w:t>
        </w:r>
      </w:hyperlink>
      <w:r>
        <w:rPr>
          <w:rStyle w:val="CommentReference"/>
        </w:rPr>
        <w:annotationRef/>
      </w:r>
      <w:r>
        <w:rPr>
          <w:rFonts w:ascii="Garamond" w:hAnsi="Garamond"/>
        </w:rPr>
        <w:t>)</w:t>
      </w:r>
    </w:p>
  </w:footnote>
  <w:footnote w:id="20">
    <w:p w14:paraId="3B54E7B1"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Compare with a related notable incident, involving Steve Mann, developer of the EyeTap Digital Eye Glass, who was assaulted in a McDonald’s in Paris, France, when an employee of McDonald’s attempted to remove Mann’s Digital glass eye; http://www.webcitation.org/6DGSr4dBe. </w:t>
      </w:r>
    </w:p>
  </w:footnote>
  <w:footnote w:id="21">
    <w:p w14:paraId="43494B71" w14:textId="77777777" w:rsidR="00151ACA" w:rsidRDefault="00151ACA" w:rsidP="00151ACA">
      <w:pPr>
        <w:rPr>
          <w:rFonts w:ascii="Garamond" w:hAnsi="Garamond"/>
        </w:rPr>
      </w:pPr>
      <w:r>
        <w:rPr>
          <w:rStyle w:val="FootnoteReference"/>
        </w:rPr>
        <w:footnoteRef/>
      </w:r>
      <w:r>
        <w:t xml:space="preserve"> </w:t>
      </w:r>
      <w:r>
        <w:rPr>
          <w:rFonts w:ascii="Garamond" w:hAnsi="Garamond"/>
        </w:rPr>
        <w:t>It’s important</w:t>
      </w:r>
      <w:r>
        <w:rPr>
          <w:rStyle w:val="CommentReference"/>
        </w:rPr>
        <w:annotationRef/>
      </w:r>
      <w:r>
        <w:rPr>
          <w:rFonts w:ascii="Garamond" w:hAnsi="Garamond"/>
        </w:rPr>
        <w:t xml:space="preserve"> to note that the legal protection afforded to individuals with cognitively integrated artifacts will be, in typical cases, legal protection for individuals with faculties best understood as </w:t>
      </w:r>
      <w:r>
        <w:rPr>
          <w:rFonts w:ascii="Garamond" w:hAnsi="Garamond"/>
          <w:i/>
        </w:rPr>
        <w:t xml:space="preserve">restored </w:t>
      </w:r>
      <w:r>
        <w:rPr>
          <w:rFonts w:ascii="Garamond" w:hAnsi="Garamond"/>
        </w:rPr>
        <w:t xml:space="preserve">to normal baseline levels of functioning rather than </w:t>
      </w:r>
      <w:r>
        <w:rPr>
          <w:rFonts w:ascii="Garamond" w:hAnsi="Garamond"/>
          <w:i/>
        </w:rPr>
        <w:t xml:space="preserve">enhanced </w:t>
      </w:r>
      <w:r>
        <w:rPr>
          <w:rFonts w:ascii="Garamond" w:hAnsi="Garamond"/>
        </w:rPr>
        <w:t>(Gray 1995)</w:t>
      </w:r>
      <w:r>
        <w:rPr>
          <w:rFonts w:ascii="Garamond" w:hAnsi="Garamond"/>
          <w:i/>
        </w:rPr>
        <w:t>.</w:t>
      </w:r>
      <w:r>
        <w:rPr>
          <w:rFonts w:ascii="Garamond" w:hAnsi="Garamond"/>
        </w:rPr>
        <w:t xml:space="preserve"> Following Bostrom </w:t>
      </w:r>
      <w:r>
        <w:rPr>
          <w:rFonts w:ascii="Garamond" w:hAnsi="Garamond"/>
          <w:iCs/>
        </w:rPr>
        <w:t>and</w:t>
      </w:r>
      <w:r>
        <w:rPr>
          <w:rFonts w:ascii="Garamond" w:hAnsi="Garamond"/>
        </w:rPr>
        <w:t xml:space="preserve"> Savulescu (2009: 310), we can distinguish between </w:t>
      </w:r>
      <w:r>
        <w:rPr>
          <w:rFonts w:ascii="Garamond" w:hAnsi="Garamond"/>
          <w:i/>
        </w:rPr>
        <w:t>therapeutic cognitive improvements</w:t>
      </w:r>
      <w:r>
        <w:rPr>
          <w:rFonts w:ascii="Garamond" w:hAnsi="Garamond"/>
        </w:rPr>
        <w:t xml:space="preserve">, which are aimed at correcting a specific pathology or cognitive defect (e.g., treatments aimed at slowing the progression of Alzheimer’s), and </w:t>
      </w:r>
      <w:r>
        <w:rPr>
          <w:rFonts w:ascii="Garamond" w:hAnsi="Garamond"/>
          <w:i/>
        </w:rPr>
        <w:t>cognitive enhancements,</w:t>
      </w:r>
      <w:r>
        <w:rPr>
          <w:rFonts w:ascii="Garamond" w:hAnsi="Garamond"/>
        </w:rPr>
        <w:t xml:space="preserve"> which are (roughly) interventions that improve cognitive functioning nontherapeutically (e.g., by ways that do not involve the repairing of a cognitive defect or dysfunction). This distinction is relevant because to the extent that one suggests that the legal protection for </w:t>
      </w:r>
      <w:r>
        <w:rPr>
          <w:rFonts w:ascii="Garamond" w:hAnsi="Garamond"/>
          <w:i/>
        </w:rPr>
        <w:t>enhancements</w:t>
      </w:r>
      <w:r>
        <w:rPr>
          <w:rFonts w:ascii="Garamond" w:hAnsi="Garamond"/>
        </w:rPr>
        <w:t xml:space="preserve"> should be evaluated differently from legal protection for </w:t>
      </w:r>
      <w:r>
        <w:rPr>
          <w:rFonts w:ascii="Garamond" w:hAnsi="Garamond"/>
          <w:i/>
        </w:rPr>
        <w:t>therapeutic improvements</w:t>
      </w:r>
      <w:r>
        <w:rPr>
          <w:rFonts w:ascii="Garamond" w:hAnsi="Garamond"/>
        </w:rPr>
        <w:t>, cases like Harbisson’s and also Mann’s (see fn. 23</w:t>
      </w:r>
      <w:r>
        <w:rPr>
          <w:rStyle w:val="CommentReference"/>
        </w:rPr>
        <w:annotationRef/>
      </w:r>
      <w:r>
        <w:rPr>
          <w:rFonts w:ascii="Garamond" w:hAnsi="Garamond"/>
        </w:rPr>
        <w:t>) belong in the latter rather than the former category.</w:t>
      </w:r>
    </w:p>
    <w:p w14:paraId="6DDFF53B" w14:textId="77777777" w:rsidR="00151ACA" w:rsidRPr="00B452B9" w:rsidRDefault="00151ACA" w:rsidP="00151ACA">
      <w:pPr>
        <w:pStyle w:val="FootnoteText"/>
        <w:rPr>
          <w:lang w:val="en-GB"/>
        </w:rPr>
      </w:pPr>
    </w:p>
  </w:footnote>
  <w:footnote w:id="22">
    <w:p w14:paraId="43CFC7B4"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Focusing on the claim that cloud accounts can be part of who we are, an anonymous referee wonders whether cognitive extension implies extended personhood. This is an interesting question, but the present dialectics do not require that we address it directly. The reason is that AEA does not claim that personal assault can be extended because personhood is extended. Instead, relying on relevant ethical and legal theorizing, AEA claims that personal assault extends because the mental faculties that constitute one’s person are extended. Accordingly, in order to make the case for AEA we need only show that one’s mental faculties can be extended. We believe that the DST approach to cognitive extension sufficiently demonstrates that. However, it is worth noting that while some theorists reject the move from extended cognition to extended personhood (Baker 2000; Olson 2011 &lt;&lt;Not in reference list. Please add?&gt;&gt;; Buller 2013&lt;&lt;Not in reference list. Please add?&gt;&gt;), a number of authors—including Clark and Chalmers (1998), Clark (2008), Clowes (2012) and Heersmink (2015, 2016, forthcoming)—argue for the possibility of extended personhood. Therefore, arguments for extended personal assault could also be convincingly motivated on the basis of extended personhood. </w:t>
      </w:r>
    </w:p>
  </w:footnote>
  <w:footnote w:id="23">
    <w:p w14:paraId="152D1431"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Very worryingly and in relation to the discussion of the above paragraph, the </w:t>
      </w:r>
      <w:r w:rsidRPr="00B452B9">
        <w:rPr>
          <w:rFonts w:ascii="Garamond" w:hAnsi="Garamond"/>
          <w:i/>
          <w:iCs/>
          <w:sz w:val="22"/>
          <w:szCs w:val="22"/>
        </w:rPr>
        <w:t>Guardian</w:t>
      </w:r>
      <w:r>
        <w:rPr>
          <w:rFonts w:ascii="Garamond" w:hAnsi="Garamond"/>
          <w:sz w:val="22"/>
          <w:szCs w:val="22"/>
        </w:rPr>
        <w:t xml:space="preserve"> (</w:t>
      </w:r>
      <w:hyperlink r:id="rId7" w:history="1">
        <w:r>
          <w:rPr>
            <w:rStyle w:val="Hyperlink"/>
            <w:rFonts w:ascii="Garamond" w:hAnsi="Garamond"/>
            <w:color w:val="auto"/>
            <w:sz w:val="22"/>
            <w:szCs w:val="22"/>
          </w:rPr>
          <w:t>http://www.theguardian.com/technology/2016/feb/20/apple-fbi-iphone-explainer-san-bernardino</w:t>
        </w:r>
      </w:hyperlink>
      <w:r>
        <w:rPr>
          <w:rFonts w:ascii="Garamond" w:hAnsi="Garamond"/>
          <w:sz w:val="22"/>
          <w:szCs w:val="22"/>
        </w:rPr>
        <w:t xml:space="preserve">) notes that data stored on the cloud ‘are much easier for the FBI to obtain; Apple can’t make the case that it doesn’t have immediate access to them because they’re stored on Apple’s own computers’. If the above analysis is correct, however, then data saved on one’s cloud account are also part of one’s person and should be legally protected in the same way as data stored in one’s physical devices. </w:t>
      </w:r>
    </w:p>
  </w:footnote>
  <w:footnote w:id="24">
    <w:p w14:paraId="7D6C606F"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For example, think of Ricky Dean who was left with no short-term or long-term memory after his brain was starved of oxygen shortly after his birth (</w:t>
      </w:r>
      <w:hyperlink r:id="rId8" w:history="1">
        <w:r>
          <w:rPr>
            <w:rStyle w:val="Hyperlink"/>
            <w:rFonts w:ascii="Garamond" w:hAnsi="Garamond"/>
            <w:color w:val="auto"/>
            <w:sz w:val="22"/>
            <w:szCs w:val="22"/>
          </w:rPr>
          <w:t>http://www.dailymail.co.uk/news/article-2388458/The-boy-remember-Every-morning-Ricky-wakes-memory-day-needs-notes-tell-brush-teeth-meet-friends.html</w:t>
        </w:r>
      </w:hyperlink>
      <w:r>
        <w:rPr>
          <w:rFonts w:ascii="Garamond" w:hAnsi="Garamond"/>
          <w:sz w:val="22"/>
          <w:szCs w:val="22"/>
        </w:rPr>
        <w:t>) or Thomas Dixon who suffers from a severe impairment to his episodic memory after being hit by a car (</w:t>
      </w:r>
      <w:hyperlink r:id="rId9" w:history="1">
        <w:r>
          <w:rPr>
            <w:rStyle w:val="Hyperlink"/>
            <w:rFonts w:ascii="Garamond" w:hAnsi="Garamond"/>
            <w:color w:val="auto"/>
            <w:sz w:val="22"/>
            <w:szCs w:val="22"/>
          </w:rPr>
          <w:t>http://www.fastcompany.com/3037432/this-man-uses-twitter-as-a-prosthetic-device-for-his-damaged-memory</w:t>
        </w:r>
      </w:hyperlink>
      <w:r>
        <w:rPr>
          <w:rFonts w:ascii="Garamond" w:hAnsi="Garamond"/>
          <w:sz w:val="22"/>
          <w:szCs w:val="22"/>
        </w:rPr>
        <w:t xml:space="preserve">). </w:t>
      </w:r>
    </w:p>
  </w:footnote>
  <w:footnote w:id="25">
    <w:p w14:paraId="41BC6AD9"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The following websites contain some indicative examples: </w:t>
      </w:r>
      <w:hyperlink r:id="rId10" w:history="1">
        <w:r>
          <w:rPr>
            <w:rStyle w:val="Hyperlink"/>
            <w:rFonts w:ascii="Garamond" w:hAnsi="Garamond"/>
            <w:color w:val="auto"/>
            <w:sz w:val="22"/>
            <w:szCs w:val="22"/>
          </w:rPr>
          <w:t>http://www.qcare.co.uk/top-5-apps-for-people-living-with-dementia.html</w:t>
        </w:r>
      </w:hyperlink>
      <w:r>
        <w:t xml:space="preserve">; </w:t>
      </w:r>
      <w:hyperlink r:id="rId11" w:history="1">
        <w:r>
          <w:rPr>
            <w:rStyle w:val="Hyperlink"/>
            <w:rFonts w:ascii="Garamond" w:hAnsi="Garamond"/>
            <w:color w:val="auto"/>
            <w:sz w:val="22"/>
            <w:szCs w:val="22"/>
          </w:rPr>
          <w:t>http://appcrawlr.com/ios-apps/best-apps-term-memory-loss</w:t>
        </w:r>
      </w:hyperlink>
      <w:r>
        <w:t xml:space="preserve">; </w:t>
      </w:r>
      <w:hyperlink r:id="rId12" w:history="1">
        <w:r>
          <w:rPr>
            <w:rStyle w:val="Hyperlink"/>
            <w:rFonts w:ascii="Garamond" w:hAnsi="Garamond"/>
            <w:color w:val="auto"/>
            <w:sz w:val="22"/>
            <w:szCs w:val="22"/>
          </w:rPr>
          <w:t>http://memoryappsfordementia.org.uk</w:t>
        </w:r>
      </w:hyperlink>
      <w:r>
        <w:t>.</w:t>
      </w:r>
    </w:p>
  </w:footnote>
  <w:footnote w:id="26">
    <w:p w14:paraId="745BEFA7" w14:textId="77777777" w:rsidR="00151ACA" w:rsidRDefault="00151ACA" w:rsidP="00151ACA">
      <w:pPr>
        <w:pStyle w:val="FootnoteText"/>
        <w:spacing w:line="360" w:lineRule="auto"/>
        <w:jc w:val="left"/>
        <w:rPr>
          <w:rFonts w:ascii="Garamond" w:hAnsi="Garamond"/>
          <w:sz w:val="22"/>
          <w:szCs w:val="22"/>
        </w:rPr>
      </w:pPr>
      <w:r>
        <w:rPr>
          <w:rStyle w:val="FootnoteReference"/>
          <w:rFonts w:ascii="Garamond" w:hAnsi="Garamond"/>
          <w:sz w:val="22"/>
          <w:szCs w:val="22"/>
        </w:rPr>
        <w:footnoteRef/>
      </w:r>
      <w:r>
        <w:rPr>
          <w:rFonts w:ascii="Garamond" w:hAnsi="Garamond"/>
          <w:sz w:val="22"/>
          <w:szCs w:val="22"/>
        </w:rPr>
        <w:t xml:space="preserve"> We are thankful to Panagiotis Kourtesis for his thoughtful comments on a previous draft of the paper. We would also like to thank the audiences of the IT Futures Conference (University of Edinburgh, December 2014) and the Extended Knowledge Impact Event (January 2016), where previous versions of the paper were presented and discussed. This paper was produced as part of the AHRC-funded ‘Extended Knowledge’ research project (AH/J011908/1), which was hosted at Edinburgh’s </w:t>
      </w:r>
      <w:r>
        <w:rPr>
          <w:rFonts w:ascii="Garamond" w:hAnsi="Garamond"/>
          <w:i/>
          <w:sz w:val="22"/>
          <w:szCs w:val="22"/>
        </w:rPr>
        <w:t xml:space="preserve">Eidyn </w:t>
      </w:r>
      <w:r>
        <w:rPr>
          <w:rFonts w:ascii="Garamond" w:hAnsi="Garamond"/>
          <w:sz w:val="22"/>
          <w:szCs w:val="22"/>
        </w:rPr>
        <w:t xml:space="preserve">Research Centre.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04133"/>
    <w:multiLevelType w:val="multilevel"/>
    <w:tmpl w:val="F4B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revisionView w:markup="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CA"/>
    <w:rsid w:val="00087129"/>
    <w:rsid w:val="00151ACA"/>
    <w:rsid w:val="0057222F"/>
    <w:rsid w:val="0057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0E3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ACA"/>
    <w:pPr>
      <w:spacing w:before="180" w:after="180"/>
      <w:contextualSpacing/>
      <w:jc w:val="both"/>
    </w:pPr>
    <w:rPr>
      <w:rFonts w:ascii="Palatino Linotype" w:hAnsi="Palatino Linotype"/>
      <w:lang w:val="en-US"/>
    </w:rPr>
  </w:style>
  <w:style w:type="paragraph" w:styleId="Heading1">
    <w:name w:val="heading 1"/>
    <w:basedOn w:val="Normal"/>
    <w:next w:val="Normal"/>
    <w:link w:val="Heading1Char"/>
    <w:uiPriority w:val="9"/>
    <w:qFormat/>
    <w:rsid w:val="00151ACA"/>
    <w:pPr>
      <w:keepNext/>
      <w:keepLines/>
      <w:spacing w:before="480" w:after="0"/>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CA"/>
    <w:rPr>
      <w:rFonts w:ascii="Palatino Linotype" w:eastAsiaTheme="majorEastAsia" w:hAnsi="Palatino Linotype" w:cstheme="majorBidi"/>
      <w:b/>
      <w:bCs/>
      <w:lang w:val="en-US"/>
    </w:rPr>
  </w:style>
  <w:style w:type="paragraph" w:customStyle="1" w:styleId="Compact">
    <w:name w:val="Compact"/>
    <w:basedOn w:val="Normal"/>
    <w:qFormat/>
    <w:rsid w:val="00151ACA"/>
    <w:pPr>
      <w:spacing w:before="36" w:after="36"/>
      <w:ind w:left="567" w:right="567"/>
    </w:pPr>
  </w:style>
  <w:style w:type="paragraph" w:styleId="Title">
    <w:name w:val="Title"/>
    <w:basedOn w:val="Normal"/>
    <w:next w:val="Normal"/>
    <w:link w:val="TitleChar"/>
    <w:qFormat/>
    <w:rsid w:val="00151ACA"/>
    <w:pPr>
      <w:keepNext/>
      <w:keepLines/>
      <w:spacing w:before="480" w:after="240"/>
      <w:jc w:val="center"/>
    </w:pPr>
    <w:rPr>
      <w:rFonts w:eastAsiaTheme="majorEastAsia" w:cstheme="majorBidi"/>
      <w:bCs/>
      <w:caps/>
      <w:sz w:val="28"/>
      <w:szCs w:val="28"/>
    </w:rPr>
  </w:style>
  <w:style w:type="character" w:customStyle="1" w:styleId="TitleChar">
    <w:name w:val="Title Char"/>
    <w:basedOn w:val="DefaultParagraphFont"/>
    <w:link w:val="Title"/>
    <w:rsid w:val="00151ACA"/>
    <w:rPr>
      <w:rFonts w:ascii="Palatino Linotype" w:eastAsiaTheme="majorEastAsia" w:hAnsi="Palatino Linotype" w:cstheme="majorBidi"/>
      <w:bCs/>
      <w:caps/>
      <w:sz w:val="28"/>
      <w:szCs w:val="28"/>
      <w:lang w:val="en-US"/>
    </w:rPr>
  </w:style>
  <w:style w:type="paragraph" w:customStyle="1" w:styleId="BlockQuote">
    <w:name w:val="Block Quote"/>
    <w:basedOn w:val="Normal"/>
    <w:next w:val="Normal"/>
    <w:uiPriority w:val="9"/>
    <w:unhideWhenUsed/>
    <w:qFormat/>
    <w:rsid w:val="00151ACA"/>
    <w:pPr>
      <w:spacing w:before="100" w:after="100"/>
      <w:ind w:left="720" w:right="720"/>
    </w:pPr>
    <w:rPr>
      <w:rFonts w:eastAsiaTheme="majorEastAsia" w:cstheme="majorBidi"/>
      <w:bCs/>
    </w:rPr>
  </w:style>
  <w:style w:type="character" w:customStyle="1" w:styleId="FootnoteRef">
    <w:name w:val="Footnote Ref"/>
    <w:basedOn w:val="DefaultParagraphFont"/>
    <w:rsid w:val="00151ACA"/>
    <w:rPr>
      <w:rFonts w:ascii="Palatino Linotype" w:eastAsiaTheme="minorHAnsi" w:hAnsi="Palatino Linotype"/>
      <w:vertAlign w:val="superscript"/>
    </w:rPr>
  </w:style>
  <w:style w:type="paragraph" w:styleId="Footer">
    <w:name w:val="footer"/>
    <w:basedOn w:val="Normal"/>
    <w:link w:val="FooterChar"/>
    <w:rsid w:val="00151ACA"/>
    <w:pPr>
      <w:tabs>
        <w:tab w:val="center" w:pos="4320"/>
        <w:tab w:val="right" w:pos="8640"/>
      </w:tabs>
      <w:spacing w:before="0" w:after="0"/>
    </w:pPr>
  </w:style>
  <w:style w:type="character" w:customStyle="1" w:styleId="FooterChar">
    <w:name w:val="Footer Char"/>
    <w:basedOn w:val="DefaultParagraphFont"/>
    <w:link w:val="Footer"/>
    <w:rsid w:val="00151ACA"/>
    <w:rPr>
      <w:rFonts w:ascii="Palatino Linotype" w:hAnsi="Palatino Linotype"/>
      <w:lang w:val="en-US"/>
    </w:rPr>
  </w:style>
  <w:style w:type="character" w:styleId="PageNumber">
    <w:name w:val="page number"/>
    <w:basedOn w:val="DefaultParagraphFont"/>
    <w:rsid w:val="00151ACA"/>
  </w:style>
  <w:style w:type="character" w:styleId="Hyperlink">
    <w:name w:val="Hyperlink"/>
    <w:basedOn w:val="DefaultParagraphFont"/>
    <w:rsid w:val="00151ACA"/>
    <w:rPr>
      <w:color w:val="0563C1" w:themeColor="hyperlink"/>
      <w:u w:val="single"/>
    </w:rPr>
  </w:style>
  <w:style w:type="paragraph" w:styleId="EndnoteText">
    <w:name w:val="endnote text"/>
    <w:basedOn w:val="Normal"/>
    <w:link w:val="EndnoteTextChar"/>
    <w:rsid w:val="00151ACA"/>
    <w:pPr>
      <w:spacing w:before="0" w:after="0"/>
    </w:pPr>
  </w:style>
  <w:style w:type="character" w:customStyle="1" w:styleId="EndnoteTextChar">
    <w:name w:val="Endnote Text Char"/>
    <w:basedOn w:val="DefaultParagraphFont"/>
    <w:link w:val="EndnoteText"/>
    <w:rsid w:val="00151ACA"/>
    <w:rPr>
      <w:rFonts w:ascii="Palatino Linotype" w:hAnsi="Palatino Linotype"/>
      <w:lang w:val="en-US"/>
    </w:rPr>
  </w:style>
  <w:style w:type="character" w:styleId="EndnoteReference">
    <w:name w:val="endnote reference"/>
    <w:basedOn w:val="DefaultParagraphFont"/>
    <w:rsid w:val="00151ACA"/>
    <w:rPr>
      <w:vertAlign w:val="superscript"/>
    </w:rPr>
  </w:style>
  <w:style w:type="paragraph" w:styleId="BalloonText">
    <w:name w:val="Balloon Text"/>
    <w:basedOn w:val="Normal"/>
    <w:link w:val="BalloonTextChar"/>
    <w:uiPriority w:val="99"/>
    <w:semiHidden/>
    <w:unhideWhenUsed/>
    <w:rsid w:val="00151AC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ACA"/>
    <w:rPr>
      <w:rFonts w:ascii="Lucida Grande" w:hAnsi="Lucida Grande" w:cs="Lucida Grande"/>
      <w:sz w:val="18"/>
      <w:szCs w:val="18"/>
      <w:lang w:val="en-US"/>
    </w:rPr>
  </w:style>
  <w:style w:type="paragraph" w:styleId="FootnoteText">
    <w:name w:val="footnote text"/>
    <w:basedOn w:val="Normal"/>
    <w:link w:val="FootnoteTextChar"/>
    <w:uiPriority w:val="99"/>
    <w:unhideWhenUsed/>
    <w:rsid w:val="00151ACA"/>
    <w:pPr>
      <w:spacing w:before="0" w:after="0"/>
    </w:pPr>
  </w:style>
  <w:style w:type="character" w:customStyle="1" w:styleId="FootnoteTextChar">
    <w:name w:val="Footnote Text Char"/>
    <w:basedOn w:val="DefaultParagraphFont"/>
    <w:link w:val="FootnoteText"/>
    <w:uiPriority w:val="99"/>
    <w:rsid w:val="00151ACA"/>
    <w:rPr>
      <w:rFonts w:ascii="Palatino Linotype" w:hAnsi="Palatino Linotype"/>
      <w:lang w:val="en-US"/>
    </w:rPr>
  </w:style>
  <w:style w:type="character" w:styleId="FootnoteReference">
    <w:name w:val="footnote reference"/>
    <w:basedOn w:val="DefaultParagraphFont"/>
    <w:uiPriority w:val="99"/>
    <w:unhideWhenUsed/>
    <w:rsid w:val="00151ACA"/>
    <w:rPr>
      <w:vertAlign w:val="superscript"/>
    </w:rPr>
  </w:style>
  <w:style w:type="character" w:styleId="CommentReference">
    <w:name w:val="annotation reference"/>
    <w:basedOn w:val="DefaultParagraphFont"/>
    <w:uiPriority w:val="99"/>
    <w:semiHidden/>
    <w:unhideWhenUsed/>
    <w:rsid w:val="00151ACA"/>
    <w:rPr>
      <w:sz w:val="16"/>
      <w:szCs w:val="16"/>
    </w:rPr>
  </w:style>
  <w:style w:type="paragraph" w:styleId="CommentText">
    <w:name w:val="annotation text"/>
    <w:basedOn w:val="Normal"/>
    <w:link w:val="CommentTextChar"/>
    <w:uiPriority w:val="99"/>
    <w:unhideWhenUsed/>
    <w:rsid w:val="00151ACA"/>
    <w:rPr>
      <w:sz w:val="20"/>
      <w:szCs w:val="20"/>
    </w:rPr>
  </w:style>
  <w:style w:type="character" w:customStyle="1" w:styleId="CommentTextChar">
    <w:name w:val="Comment Text Char"/>
    <w:basedOn w:val="DefaultParagraphFont"/>
    <w:link w:val="CommentText"/>
    <w:uiPriority w:val="99"/>
    <w:rsid w:val="00151ACA"/>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151ACA"/>
    <w:rPr>
      <w:b/>
      <w:bCs/>
    </w:rPr>
  </w:style>
  <w:style w:type="character" w:customStyle="1" w:styleId="CommentSubjectChar">
    <w:name w:val="Comment Subject Char"/>
    <w:basedOn w:val="CommentTextChar"/>
    <w:link w:val="CommentSubject"/>
    <w:uiPriority w:val="99"/>
    <w:semiHidden/>
    <w:rsid w:val="00151ACA"/>
    <w:rPr>
      <w:rFonts w:ascii="Palatino Linotype" w:hAnsi="Palatino Linotype"/>
      <w:b/>
      <w:bCs/>
      <w:sz w:val="20"/>
      <w:szCs w:val="20"/>
      <w:lang w:val="en-US"/>
    </w:rPr>
  </w:style>
  <w:style w:type="paragraph" w:styleId="Revision">
    <w:name w:val="Revision"/>
    <w:hidden/>
    <w:uiPriority w:val="99"/>
    <w:semiHidden/>
    <w:rsid w:val="00151ACA"/>
    <w:rPr>
      <w:rFonts w:ascii="Palatino Linotype" w:hAnsi="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www.ara.cat/societat/No-blancs-negres-tots%20taronges_0_411558847.html"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appcrawlr.com/ios-apps/best-apps-term-memory-loss" TargetMode="External"/><Relationship Id="rId12" Type="http://schemas.openxmlformats.org/officeDocument/2006/relationships/hyperlink" Target="http://memoryappsfordementia.org.uk" TargetMode="External"/><Relationship Id="rId1" Type="http://schemas.openxmlformats.org/officeDocument/2006/relationships/hyperlink" Target="http://www.natlawreview.com/article/landmark-supreme-court-ruling-protects-cell-phones-warrantless-searches" TargetMode="External"/><Relationship Id="rId2" Type="http://schemas.openxmlformats.org/officeDocument/2006/relationships/hyperlink" Target="http://www.supremecourt.gov/opinions/13pdf/13-132_8l9c.pdf" TargetMode="External"/><Relationship Id="rId3" Type="http://schemas.openxmlformats.org/officeDocument/2006/relationships/hyperlink" Target="http://law.justia.com/constitution/us/amendment-04/14-search-incident-to-arrest.html" TargetMode="External"/><Relationship Id="rId4" Type="http://schemas.openxmlformats.org/officeDocument/2006/relationships/hyperlink" Target="https://www.youtube.com/watch?v=ygRNoieAnzI" TargetMode="External"/><Relationship Id="rId5" Type="http://schemas.openxmlformats.org/officeDocument/2006/relationships/hyperlink" Target="http://www.bbc.co.uk/news/magazine-16681630" TargetMode="External"/><Relationship Id="rId6" Type="http://schemas.openxmlformats.org/officeDocument/2006/relationships/hyperlink" Target="http://www.theguardian.com/artanddesign/2014/may/06/neil-harbisson-worlds-first-cyborg-artist" TargetMode="External"/><Relationship Id="rId7" Type="http://schemas.openxmlformats.org/officeDocument/2006/relationships/hyperlink" Target="http://www.theguardian.com/technology/2016/feb/20/apple-fbi-iphone-explainer-san-bernardino" TargetMode="External"/><Relationship Id="rId8" Type="http://schemas.openxmlformats.org/officeDocument/2006/relationships/hyperlink" Target="http://www.dailymail.co.uk/news/article-2388458/The-boy-remember-Every-morning-Ricky-wakes-memory-day-needs-notes-tell-brush-teeth-meet-friends.html" TargetMode="External"/><Relationship Id="rId9" Type="http://schemas.openxmlformats.org/officeDocument/2006/relationships/hyperlink" Target="http://www.fastcompany.com/3037432/this-man-uses-twitter-as-a-prosthetic-device-for-his-damaged-memory" TargetMode="External"/><Relationship Id="rId10" Type="http://schemas.openxmlformats.org/officeDocument/2006/relationships/hyperlink" Target="http://www.qcare.co.uk/top-5-apps-for-people-living-with-dement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9022</Words>
  <Characters>51427</Characters>
  <Application>Microsoft Macintosh Word</Application>
  <DocSecurity>0</DocSecurity>
  <Lines>428</Lines>
  <Paragraphs>120</Paragraphs>
  <ScaleCrop>false</ScaleCrop>
  <LinksUpToDate>false</LinksUpToDate>
  <CharactersWithSpaces>60329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PALERMOS Spyridon</dc:creator>
  <cp:keywords/>
  <dc:description/>
  <cp:lastModifiedBy>PALERMOS Spyridon</cp:lastModifiedBy>
  <cp:revision>2</cp:revision>
  <dcterms:created xsi:type="dcterms:W3CDTF">2016-10-24T10:38:00Z</dcterms:created>
  <dcterms:modified xsi:type="dcterms:W3CDTF">2016-10-24T10:38:00Z</dcterms:modified>
</cp:coreProperties>
</file>